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Mise en demeure — trouble du voisinage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Malgré mon courrier du […] vous alertant sur des troubles de voisinage causés par vous-même ou par des personnes que vous hébergez, ces troubles persistent.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Nouveaux faits constatés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Pièces jointes, le cas échéant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mets en demeure de faire cesser immédiatement ces troubles. À défaut, je me réserve le droit de saisir le tribunal judiciaire afin de faire constater ces troubles et, le cas échéant, d'obtenir la résiliation du bail.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2089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73"/>
    </w:pPr>
    <w:r>
      <w:rPr>
        <w:rFonts w:ascii="Georgia" w:hAnsi="Georgia" w:cs="Georgia"/>
        <w:sz w:val="14"/>
        <w:sz-cs w:val="14"/>
        <w:i/>
        <w:spacing w:val="0"/>
        <w:color w:val="626262"/>
      </w:rPr>
      <w:t xml:space="preserve">P.J. : copie du courrier d'alerte précédent.</w:t>
    </w:r>
  </w:p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articles 6-1, 7 b), 24.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