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4"/>
        <w:jc w:val="center"/>
      </w:pPr>
      <w:r>
        <w:rPr>
          <w:rFonts w:ascii="Helvetica Neue" w:hAnsi="Helvetica Neue"/>
          <w:b/>
          <w:i w:val="0"/>
          <w:color w:val="1A1A1A"/>
          <w:sz w:val="36"/>
        </w:rPr>
        <w:t>INVENTAIRE ET ÉTAT DÉTAILLÉ DU MOBILIER</w:t>
      </w:r>
    </w:p>
    <w:p>
      <w:pPr>
        <w:spacing w:before="0" w:after="480"/>
        <w:jc w:val="center"/>
      </w:pPr>
      <w:r>
        <w:rPr>
          <w:rFonts w:ascii="Georgia" w:hAnsi="Georgia"/>
          <w:b w:val="0"/>
          <w:i/>
          <w:color w:val="555555"/>
          <w:sz w:val="20"/>
        </w:rPr>
        <w:t>Annexe au contrat de location d'un logement meublé</w:t>
      </w:r>
    </w:p>
    <w:tbl>
      <w:tblPr>
        <w:jc w:val="center"/>
        <w:tblLook w:firstColumn="1" w:firstRow="1" w:lastColumn="0" w:lastRow="0" w:noHBand="0" w:noVBand="1" w:val="04A0"/>
        <w:tblW w:w="1200" w:type="dxa"/>
        <w:tblLayout w:type="fixed"/>
        <w:tblBorders>
          <w:bottom w:val="single" w:sz="12" w:color="8A6D3B"/>
        </w:tblBorders>
      </w:tblPr>
      <w:tblGrid>
        <w:gridCol w:w="1200"/>
      </w:tblGrid>
      <w:tr>
        <w:tc>
          <w:tcPr>
            <w:tcW w:type="dxa" w:w="9421"/>
          </w:tcPr>
          <w:p>
            <w:pPr>
              <w:spacing w:after="0"/>
            </w:pPr>
          </w:p>
        </w:tc>
      </w:tr>
    </w:tbl>
    <w:p>
      <w:pPr>
        <w:spacing w:before="0" w:after="0"/>
      </w:pPr>
      <w:r>
        <w:br/>
      </w:r>
    </w:p>
    <w:p>
      <w:pPr>
        <w:spacing w:before="0" w:after="184"/>
        <w:ind w:left="255"/>
      </w:pPr>
      <w:r>
        <w:rPr>
          <w:rFonts w:ascii="Georgia" w:hAnsi="Georgia"/>
          <w:b/>
          <w:i w:val="0"/>
          <w:color w:val="1A1A1A"/>
          <w:sz w:val="18"/>
        </w:rPr>
        <w:t>Type d'inventaire :</w:t>
      </w:r>
      <w:r>
        <w:rPr>
          <w:rFonts w:ascii="Georgia" w:hAnsi="Georgia"/>
          <w:b w:val="0"/>
          <w:i w:val="0"/>
          <w:color w:val="1A1A1A"/>
          <w:sz w:val="18"/>
        </w:rPr>
        <w:t xml:space="preserve">   </w:t>
      </w:r>
      <w:r>
        <w:rPr>
          <w:rFonts w:ascii="Apple Symbols" w:hAnsi="Apple Symbols"/>
          <w:b w:val="0"/>
          <w:i w:val="0"/>
          <w:color w:val="1A1A1A"/>
          <w:sz w:val="26"/>
        </w:rPr>
        <w:t>☐</w:t>
      </w:r>
      <w:r>
        <w:rPr>
          <w:rFonts w:ascii="Georgia" w:hAnsi="Georgia"/>
          <w:b w:val="0"/>
          <w:i w:val="0"/>
          <w:color w:val="1A1A1A"/>
          <w:sz w:val="18"/>
        </w:rPr>
        <w:t xml:space="preserve"> Remise des clés    </w:t>
      </w:r>
      <w:r>
        <w:rPr>
          <w:rFonts w:ascii="Apple Symbols" w:hAnsi="Apple Symbols"/>
          <w:b w:val="0"/>
          <w:i w:val="0"/>
          <w:color w:val="1A1A1A"/>
          <w:sz w:val="26"/>
        </w:rPr>
        <w:t>☐</w:t>
      </w:r>
      <w:r>
        <w:rPr>
          <w:rFonts w:ascii="Georgia" w:hAnsi="Georgia"/>
          <w:b w:val="0"/>
          <w:i w:val="0"/>
          <w:color w:val="1A1A1A"/>
          <w:sz w:val="18"/>
        </w:rPr>
        <w:t xml:space="preserve"> Restitution des clés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color="8A6D3B"/>
          <w:left w:val="single" w:sz="6" w:color="8A6D3B"/>
          <w:bottom w:val="single" w:sz="6" w:color="8A6D3B"/>
          <w:right w:val="single" w:sz="6" w:color="8A6D3B"/>
          <w:insideH w:val="single" w:sz="6" w:color="8A6D3B"/>
          <w:insideV w:val="single" w:sz="6" w:color="8A6D3B"/>
        </w:tblBorders>
        <w:tblCellMar>
          <w:top w:w="34" w:type="dxa"/>
          <w:left w:w="170" w:type="dxa"/>
          <w:bottom w:w="34" w:type="dxa"/>
          <w:right w:w="170" w:type="dxa"/>
        </w:tblCellMar>
        <w:tblW w:w="9421" w:type="dxa"/>
        <w:tblLayout w:type="fixed"/>
      </w:tblPr>
      <w:tblGrid>
        <w:gridCol w:w="9421"/>
      </w:tblGrid>
      <w:tr>
        <w:tc>
          <w:tcPr>
            <w:tcW w:type="dxa" w:w="9421"/>
          </w:tcPr>
          <w:p>
            <w:pPr>
              <w:tabs>
                <w:tab w:pos="4860" w:val="right" w:leader="dot"/>
              </w:tabs>
              <w:spacing w:before="0" w:after="99"/>
              <w:ind w:left="255"/>
            </w:pPr>
            <w:r>
              <w:rPr>
                <w:rFonts w:ascii="Georgia" w:hAnsi="Georgia"/>
                <w:b/>
                <w:i w:val="0"/>
                <w:color w:val="1A1A1A"/>
                <w:sz w:val="18"/>
              </w:rPr>
              <w:t>Date d'établissement :</w:t>
            </w:r>
            <w:r>
              <w:rPr>
                <w:rFonts w:ascii="Georgia" w:hAnsi="Georgia"/>
                <w:b/>
                <w:i w:val="0"/>
                <w:color w:val="1A1A1A"/>
                <w:sz w:val="18"/>
              </w:rPr>
              <w:t xml:space="preserve"> </w:t>
            </w:r>
            <w:r>
              <w:tab/>
            </w:r>
          </w:p>
          <w:p>
            <w:pPr>
              <w:tabs>
                <w:tab w:pos="8085" w:val="right" w:leader="dot"/>
              </w:tabs>
              <w:spacing w:before="0" w:after="480"/>
              <w:ind w:left="255"/>
            </w:pPr>
            <w:r>
              <w:rPr>
                <w:rFonts w:ascii="Georgia" w:hAnsi="Georgia"/>
                <w:b/>
                <w:i w:val="0"/>
                <w:color w:val="1A1A1A"/>
                <w:sz w:val="18"/>
              </w:rPr>
              <w:t>Localisation du logement :</w:t>
            </w:r>
            <w:r>
              <w:tab/>
            </w:r>
          </w:p>
        </w:tc>
      </w:tr>
    </w:tbl>
    <w:p>
      <w:pPr>
        <w:spacing w:before="0" w:after="59"/>
      </w:pPr>
      <w:r>
        <w:rPr>
          <w:rFonts w:ascii="Georgia" w:hAnsi="Georgia"/>
          <w:b w:val="0"/>
          <w:i/>
          <w:color w:val="555555"/>
          <w:sz w:val="18"/>
        </w:rPr>
        <w:t>Établi contradictoirement et amiablement par le bailleur et le locataire, ou par un tiers qu'ils ont mandaté ; signé par les parties ; remis en main propre ou par voie dématérialisée à chacune d'elles. Il ne peut donner lieu à aucune facturation autre que celle liée à l'établissement de l'état des lieux.</w:t>
      </w:r>
    </w:p>
    <w:p>
      <w:pPr>
        <w:spacing w:before="200" w:after="314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1. Mobilier obligatoire du logement meublé</w:t>
      </w:r>
    </w:p>
    <w:p>
      <w:pPr>
        <w:spacing w:before="0" w:after="76"/>
      </w:pPr>
      <w:r>
        <w:rPr>
          <w:rFonts w:ascii="Georgia" w:hAnsi="Georgia"/>
          <w:b w:val="0"/>
          <w:i/>
          <w:color w:val="555555"/>
          <w:sz w:val="18"/>
        </w:rPr>
        <w:t>En application de l'article 2 du décret n° 2015-981 du 31 juillet 2015, pris pour application de l'article 25-4 de la loi du 6 juillet 1989, le logement meublé comprend au moins les onze catégories d'équipements suivantes. Chaque ligne décrit précisément ce qui est fourni, sa quantité et son état.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705"/>
        <w:gridCol w:w="3699"/>
        <w:gridCol w:w="1472"/>
        <w:gridCol w:w="1546"/>
      </w:tblGrid>
      <w:tr>
        <w:trPr>
          <w:trHeight w:val="403" w:hRule="atLeast"/>
          <w:cantSplit w:val="true"/>
          <w:tblHeader w:val="true"/>
        </w:trPr>
        <w:tc>
          <w:tcPr>
            <w:tcW w:type="dxa" w:w="2355"/>
            <w:tcW w:w="2705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Catégorie (décret n° 2015-981)</w:t>
            </w:r>
          </w:p>
        </w:tc>
        <w:tc>
          <w:tcPr>
            <w:tcW w:type="dxa" w:w="2355"/>
            <w:tcW w:w="3699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Description précise et quantité</w:t>
            </w:r>
          </w:p>
        </w:tc>
        <w:tc>
          <w:tcPr>
            <w:tcW w:type="dxa" w:w="2355"/>
            <w:gridSpan w:val="2"/>
            <w:tcW w:w="301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</w:tr>
      <w:tr>
        <w:trPr>
          <w:trHeight w:val="403" w:hRule="atLeast"/>
          <w:cantSplit w:val="true"/>
          <w:tblHeader w:val="true"/>
        </w:trPr>
        <w:tc>
          <w:tcPr>
            <w:tcW w:type="dxa" w:w="2355"/>
            <w:tcW w:w="2705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3699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2355"/>
            <w:tcW w:w="1546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1° Literie comprenant couette ou couverture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2° Dispositif d'occultation des fenêtres des chambres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3° Plaques de cuisson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4° Four ou four à micro-ondes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5° Réfrigérateur et congélateur, ou réfrigérateur avec compartiment ≤ −6 °C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6° Vaisselle nécessaire à la prise des repas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7° Ustensiles de cuisine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8° Table et sièges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9° Étagères de rangement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10° Luminaires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2355"/>
            <w:tcW w:w="2705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11° Matériel d'entretien ménager adapté aux caractéristiques du logement</w:t>
            </w:r>
          </w:p>
        </w:tc>
        <w:tc>
          <w:tcPr>
            <w:tcW w:type="dxa" w:w="2355"/>
            <w:tcW w:w="3699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47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2355"/>
            <w:tcW w:w="1546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200" w:after="480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2. Détail du mobilier, pièce par pièce</w:t>
      </w:r>
    </w:p>
    <w:p>
      <w:pPr>
        <w:spacing w:before="0" w:after="82"/>
      </w:pPr>
      <w:r>
        <w:rPr>
          <w:rFonts w:ascii="Georgia" w:hAnsi="Georgia"/>
          <w:b/>
          <w:i/>
          <w:color w:val="555555"/>
          <w:sz w:val="18"/>
        </w:rPr>
        <w:t>Légende de l'état :</w:t>
      </w:r>
      <w:r>
        <w:rPr>
          <w:rFonts w:ascii="Georgia" w:hAnsi="Georgia"/>
          <w:b w:val="0"/>
          <w:i/>
          <w:color w:val="555555"/>
          <w:sz w:val="18"/>
        </w:rPr>
        <w:t xml:space="preserve"> </w:t>
      </w:r>
      <w:r>
        <w:rPr>
          <w:rFonts w:ascii="Georgia" w:hAnsi="Georgia"/>
          <w:b/>
          <w:i/>
          <w:color w:val="555555"/>
          <w:sz w:val="18"/>
        </w:rPr>
        <w:t>N</w:t>
      </w:r>
      <w:r>
        <w:rPr>
          <w:rFonts w:ascii="Georgia" w:hAnsi="Georgia"/>
          <w:b w:val="0"/>
          <w:i/>
          <w:color w:val="555555"/>
          <w:sz w:val="18"/>
        </w:rPr>
        <w:t xml:space="preserve"> neuf — </w:t>
      </w:r>
      <w:r>
        <w:rPr>
          <w:rFonts w:ascii="Georgia" w:hAnsi="Georgia"/>
          <w:b/>
          <w:i/>
          <w:color w:val="555555"/>
          <w:sz w:val="18"/>
        </w:rPr>
        <w:t>B</w:t>
      </w:r>
      <w:r>
        <w:rPr>
          <w:rFonts w:ascii="Georgia" w:hAnsi="Georgia"/>
          <w:b w:val="0"/>
          <w:i/>
          <w:color w:val="555555"/>
          <w:sz w:val="18"/>
        </w:rPr>
        <w:t xml:space="preserve"> bon état — </w:t>
      </w:r>
      <w:r>
        <w:rPr>
          <w:rFonts w:ascii="Georgia" w:hAnsi="Georgia"/>
          <w:b/>
          <w:i/>
          <w:color w:val="555555"/>
          <w:sz w:val="18"/>
        </w:rPr>
        <w:t>U</w:t>
      </w:r>
      <w:r>
        <w:rPr>
          <w:rFonts w:ascii="Georgia" w:hAnsi="Georgia"/>
          <w:b w:val="0"/>
          <w:i/>
          <w:color w:val="555555"/>
          <w:sz w:val="18"/>
        </w:rPr>
        <w:t xml:space="preserve"> état d'usage — </w:t>
      </w:r>
      <w:r>
        <w:rPr>
          <w:rFonts w:ascii="Georgia" w:hAnsi="Georgia"/>
          <w:b/>
          <w:i/>
          <w:color w:val="555555"/>
          <w:sz w:val="18"/>
        </w:rPr>
        <w:t>M</w:t>
      </w:r>
      <w:r>
        <w:rPr>
          <w:rFonts w:ascii="Georgia" w:hAnsi="Georgia"/>
          <w:b w:val="0"/>
          <w:i/>
          <w:color w:val="555555"/>
          <w:sz w:val="18"/>
        </w:rPr>
        <w:t xml:space="preserve"> mauvais état — </w:t>
      </w:r>
      <w:r>
        <w:rPr>
          <w:rFonts w:ascii="Georgia" w:hAnsi="Georgia"/>
          <w:b/>
          <w:i/>
          <w:color w:val="555555"/>
          <w:sz w:val="18"/>
        </w:rPr>
        <w:t>Abs.</w:t>
      </w:r>
      <w:r>
        <w:rPr>
          <w:rFonts w:ascii="Georgia" w:hAnsi="Georgia"/>
          <w:b w:val="0"/>
          <w:i/>
          <w:color w:val="555555"/>
          <w:sz w:val="18"/>
        </w:rPr>
        <w:t xml:space="preserve"> absent. Observations à la remise et à la restitution, sur la même ligne.</w:t>
      </w:r>
    </w:p>
    <w:p>
      <w:pPr>
        <w:spacing w:before="0" w:after="275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2.1 Séjour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Table et chaises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Canapé / fauteuils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Meuble(s) de rangement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Luminaires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Télévision / équipement audiovisuel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Rideaux, occultation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0" w:after="292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2.2 Cuisine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408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408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Plaques de cuisson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Four / four à micro-ondes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Réfrigérateur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Congélateur (ou compartiment ≤ −6°C)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Hotte aspirante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Vaisselle (assiettes, verres, couverts)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Ustensiles de cuisine (casseroles, poêles…)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Petit électroménager (bouilloire, grille-pain…)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Lave-vaisselle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8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Lave-linge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0" w:after="286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2.3 Chambre n° ......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Lit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Matelas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Couette ou couverture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Oreillers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Dispositif d'occultation des fenêtres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Armoire / penderie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Étagères de rangement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Luminaires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Bureau / table de chevet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0" w:after="292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2.4 Salle de bains / salle d'eau et WC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39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Meuble(s) de rangement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Miroir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39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Accessoires (porte-serviettes…)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0" w:after="275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2.5 Entretien ménager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403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403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403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Matériel d'entretien ménager (balai, aspirateur, serpillère…)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403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Fer et table à repasser</w:t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0" w:after="292"/>
        <w:keepNext w:val="true"/>
        <w:keepLines w:val="true"/>
      </w:pPr>
      <w:r>
        <w:rPr>
          <w:rFonts w:ascii="Helvetica Neue" w:hAnsi="Helvetica Neue"/>
          <w:b/>
          <w:i w:val="0"/>
          <w:color w:val="3A3A3A"/>
          <w:sz w:val="20"/>
        </w:rPr>
        <w:t>2.6 Autre mobilier fourni (au-delà du minimum légal)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284"/>
        <w:gridCol w:w="767"/>
        <w:gridCol w:w="858"/>
        <w:gridCol w:w="2330"/>
        <w:gridCol w:w="852"/>
        <w:gridCol w:w="2330"/>
      </w:tblGrid>
      <w:tr>
        <w:trPr>
          <w:trHeight w:val="18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Qté</w:t>
            </w:r>
          </w:p>
        </w:tc>
        <w:tc>
          <w:tcPr>
            <w:tcW w:type="dxa" w:w="1570"/>
            <w:gridSpan w:val="2"/>
            <w:tcW w:w="318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Remise</w:t>
            </w:r>
          </w:p>
        </w:tc>
        <w:tc>
          <w:tcPr>
            <w:tcW w:type="dxa" w:w="1570"/>
            <w:gridSpan w:val="2"/>
            <w:tcW w:w="318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Restitution</w:t>
            </w:r>
          </w:p>
        </w:tc>
      </w:tr>
      <w:tr>
        <w:trPr>
          <w:trHeight w:val="181" w:hRule="atLeast"/>
          <w:cantSplit w:val="true"/>
          <w:tblHeader w:val="true"/>
        </w:trPr>
        <w:tc>
          <w:tcPr>
            <w:tcW w:type="dxa" w:w="1570"/>
            <w:tcW w:w="228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  <w:tc>
          <w:tcPr>
            <w:tcW w:type="dxa" w:w="1570"/>
            <w:tcW w:w="852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État</w:t>
            </w:r>
          </w:p>
        </w:tc>
        <w:tc>
          <w:tcPr>
            <w:tcW w:type="dxa" w:w="1570"/>
            <w:tcW w:w="2330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Observations</w:t>
            </w:r>
          </w:p>
        </w:tc>
      </w:tr>
      <w:tr>
        <w:trPr>
          <w:trHeight w:val="18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18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  <w:tr>
        <w:trPr>
          <w:trHeight w:val="181" w:hRule="atLeast"/>
          <w:cantSplit w:val="true"/>
        </w:trPr>
        <w:tc>
          <w:tcPr>
            <w:tcW w:type="dxa" w:w="1570"/>
            <w:tcW w:w="228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767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8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852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1570"/>
            <w:tcW w:w="2330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</w:tr>
    </w:tbl>
    <w:p>
      <w:pPr>
        <w:spacing w:after="120" w:before="0"/>
      </w:pPr>
    </w:p>
    <w:p>
      <w:pPr>
        <w:spacing w:before="200" w:after="404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3. Éléments manquants ou remplacés constatés à la restitution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top w:w="34" w:type="dxa"/>
          <w:left w:w="135" w:type="dxa"/>
          <w:bottom w:w="34" w:type="dxa"/>
          <w:right w:w="135" w:type="dxa"/>
        </w:tblCellMar>
      </w:tblPr>
      <w:tblGrid>
        <w:gridCol w:w="2824"/>
        <w:gridCol w:w="3773"/>
        <w:gridCol w:w="2824"/>
      </w:tblGrid>
      <w:tr>
        <w:trPr>
          <w:trHeight w:val="703" w:hRule="atLeast"/>
          <w:cantSplit w:val="true"/>
          <w:tblHeader w:val="true"/>
        </w:trPr>
        <w:tc>
          <w:tcPr>
            <w:tcW w:type="dxa" w:w="3140"/>
            <w:tcW w:w="282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Élément</w:t>
            </w:r>
          </w:p>
        </w:tc>
        <w:tc>
          <w:tcPr>
            <w:tcW w:type="dxa" w:w="3140"/>
            <w:tcW w:w="3773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Constat</w:t>
            </w:r>
          </w:p>
        </w:tc>
        <w:tc>
          <w:tcPr>
            <w:tcW w:type="dxa" w:w="3140"/>
            <w:tcW w:w="2824" w:type="dxa"/>
            <w:vAlign w:val="center"/>
            <w:shd w:val="clear" w:color="auto" w:fill="F5F3EE"/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color w:val="1A1A1A"/>
                <w:sz w:val="18"/>
              </w:rPr>
              <w:t>Imputation</w:t>
            </w:r>
          </w:p>
        </w:tc>
      </w:tr>
      <w:tr>
        <w:trPr>
          <w:trHeight w:val="703" w:hRule="atLeast"/>
          <w:cantSplit w:val="true"/>
        </w:trPr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3773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☐ Vétusté ☐ Locataire ☐ Bailleur</w:t>
            </w:r>
          </w:p>
        </w:tc>
      </w:tr>
      <w:tr>
        <w:trPr>
          <w:trHeight w:val="703" w:hRule="atLeast"/>
          <w:cantSplit w:val="true"/>
        </w:trPr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3773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☐ Vétusté ☐ Locataire ☐ Bailleur</w:t>
            </w:r>
          </w:p>
        </w:tc>
      </w:tr>
      <w:tr>
        <w:trPr>
          <w:trHeight w:val="703" w:hRule="atLeast"/>
          <w:cantSplit w:val="true"/>
        </w:trPr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3773" w:type="dxa"/>
            <w:vAlign w:val="center"/>
          </w:tcPr>
          <w:p>
            <w:pPr>
              <w:spacing w:before="0" w:after="0"/>
            </w:pPr>
            <w:r>
              <w:br/>
            </w:r>
          </w:p>
        </w:tc>
        <w:tc>
          <w:tcPr>
            <w:tcW w:type="dxa" w:w="3140"/>
            <w:tcW w:w="2824" w:type="dxa"/>
            <w:vAlign w:val="center"/>
          </w:tcPr>
          <w:p>
            <w:pPr>
              <w:spacing w:before="0" w:after="0"/>
            </w:pP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☐ Vétusté ☐ Locataire ☐ Bailleur</w:t>
            </w:r>
          </w:p>
        </w:tc>
      </w:tr>
    </w:tbl>
    <w:p>
      <w:pPr>
        <w:spacing w:after="120" w:before="0"/>
      </w:pPr>
    </w:p>
    <w:p>
      <w:pPr>
        <w:spacing w:before="200" w:after="480"/>
        <w:pBdr>
          <w:bottom w:val="single" w:sz="6" w:space="2" w:color="8A6D3B"/>
        </w:pBdr>
        <w:keepNext w:val="true"/>
        <w:keepLines w:val="true"/>
      </w:pPr>
      <w:r>
        <w:rPr>
          <w:rFonts w:ascii="Helvetica Neue" w:hAnsi="Helvetica Neue"/>
          <w:b/>
          <w:i w:val="0"/>
          <w:color w:val="1A1A1A"/>
          <w:sz w:val="23"/>
        </w:rPr>
        <w:t>4. Signatures</w:t>
      </w:r>
    </w:p>
    <w:p>
      <w:pPr>
        <w:spacing w:before="0" w:after="480"/>
      </w:pPr>
      <w:r>
        <w:rPr>
          <w:rFonts w:ascii="Georgia" w:hAnsi="Georgia"/>
          <w:b w:val="0"/>
          <w:i w:val="0"/>
          <w:color w:val="1A1A1A"/>
          <w:sz w:val="20"/>
        </w:rPr>
        <w:t>Fait à […], le […], en autant d'exemplaires originaux que de parties.</w:t>
      </w:r>
    </w:p>
    <w:tbl>
      <w:tblPr>
        <w:jc w:val="center"/>
        <w:tblLook w:firstColumn="1" w:firstRow="1" w:lastColumn="0" w:lastRow="0" w:noHBand="0" w:noVBand="1" w:val="04A0"/>
        <w:tblW w:w="8865" w:type="dxa"/>
        <w:tblLayout w:type="fixed"/>
        <w:tblCellMar>
          <w:top w:w="34" w:type="dxa"/>
          <w:left w:w="170" w:type="dxa"/>
          <w:bottom w:w="34" w:type="dxa"/>
          <w:right w:w="170" w:type="dxa"/>
        </w:tblCellMar>
      </w:tblPr>
      <w:tblGrid>
        <w:gridCol w:w="4290"/>
        <w:gridCol w:w="285"/>
        <w:gridCol w:w="4290"/>
      </w:tblGrid>
      <w:tr>
        <w:trPr>
          <w:trHeight w:val="1890" w:hRule="atLeast"/>
          <w:cantSplit w:val="true"/>
        </w:trPr>
        <w:tc>
          <w:tcPr>
            <w:tcW w:type="dxa" w:w="3140"/>
            <w:tcW w:w="4290" w:type="dx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smallCaps/>
                <w:color w:val="8A6D3B"/>
                <w:sz w:val="20"/>
              </w:rPr>
              <w:t>Le bailleur</w:t>
            </w:r>
            <w:r>
              <w:br/>
            </w: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Signature</w:t>
            </w:r>
            <w:r>
              <w:rPr>
                <w:rFonts w:ascii="Georgia" w:hAnsi="Georgia"/>
                <w:b w:val="0"/>
                <w:i w:val="0"/>
                <w:color w:val="888888"/>
                <w:sz w:val="15"/>
              </w:rPr>
              <w:t xml:space="preserve"> (ou de son mandataire)</w:t>
            </w:r>
          </w:p>
        </w:tc>
        <w:tc>
          <w:tcPr>
            <w:tcW w:type="dxa" w:w="3140"/>
            <w:tcW w:w="285" w:type="dxa"/>
          </w:tcPr>
          <w:p/>
        </w:tc>
        <w:tc>
          <w:tcPr>
            <w:tcW w:type="dxa" w:w="3140"/>
            <w:tcW w:w="4290" w:type="dx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pPr>
              <w:spacing w:before="0" w:after="0"/>
            </w:pPr>
            <w:r>
              <w:rPr>
                <w:rFonts w:ascii="Helvetica Neue" w:hAnsi="Helvetica Neue"/>
                <w:b/>
                <w:i w:val="0"/>
                <w:smallCaps/>
                <w:color w:val="8A6D3B"/>
                <w:sz w:val="20"/>
              </w:rPr>
              <w:t>Le locataire</w:t>
            </w:r>
            <w:r>
              <w:br/>
            </w:r>
            <w:r>
              <w:rPr>
                <w:rFonts w:ascii="Georgia" w:hAnsi="Georgia"/>
                <w:b w:val="0"/>
                <w:i w:val="0"/>
                <w:color w:val="1A1A1A"/>
                <w:sz w:val="18"/>
              </w:rPr>
              <w:t>Signature</w:t>
            </w:r>
          </w:p>
        </w:tc>
      </w:tr>
    </w:tbl>
    <w:p>
      <w:pPr>
        <w:spacing w:after="120" w:before="0"/>
      </w:pPr>
    </w:p>
    <w:p>
      <w:pPr>
        <w:framePr w:w="9421" w:hAnchor="margin" w:xAlign="left" w:vAnchor="margin" w:yAlign="bottom" w:wrap="around"/>
        <w:spacing w:before="0" w:after="54"/>
      </w:pPr>
      <w:r>
        <w:rPr>
          <w:rFonts w:ascii="Georgia" w:hAnsi="Georgia"/>
          <w:b/>
          <w:i w:val="0"/>
          <w:color w:val="666666"/>
          <w:sz w:val="15"/>
        </w:rPr>
        <w:t>Références.</w:t>
      </w:r>
      <w:r>
        <w:rPr>
          <w:rFonts w:ascii="Georgia" w:hAnsi="Georgia"/>
          <w:b w:val="0"/>
          <w:i w:val="0"/>
          <w:color w:val="666666"/>
          <w:sz w:val="15"/>
        </w:rPr>
        <w:t xml:space="preserve"> Loi n° 89-462 du 6 juillet 1989, article 25-5 · Décret n° 2015-981 du 31 juillet 2015 fixant la liste des éléments de mobilier d'un logement meublé, pris pour application de l'article 25-4 de la loi du 6 juillet 1989.</w:t>
      </w:r>
    </w:p>
    <w:sectPr w:rsidR="00FC693F" w:rsidRPr="0006063C" w:rsidSect="00034616">
      <w:footerReference w:type="default" r:id="rId9"/>
      <w:pgSz w:w="11906" w:h="16838"/>
      <w:pgMar w:top="1020" w:right="1240" w:bottom="850" w:left="1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elvetica Neue" w:hAnsi="Helvetica Neue"/>
        <w:color w:val="8C8C8C"/>
        <w:sz w:val="13"/>
      </w:rPr>
      <w:t>Document généré via Assetimmo · assetimmo.fr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