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rPr>
          <w:rFonts w:ascii="Helvetica Neue" w:hAnsi="Helvetica Neue"/>
          <w:b/>
          <w:i w:val="0"/>
          <w:color w:val="141414"/>
          <w:sz w:val="35"/>
        </w:rPr>
        <w:t>GRILLE DE VÉTUSTÉ</w:t>
      </w:r>
    </w:p>
    <w:p>
      <w:pPr>
        <w:spacing w:before="0" w:after="480"/>
        <w:jc w:val="center"/>
      </w:pPr>
      <w:r>
        <w:rPr>
          <w:rFonts w:ascii="Georgia" w:hAnsi="Georgia"/>
          <w:b w:val="0"/>
          <w:i/>
          <w:color w:val="434343"/>
          <w:sz w:val="19"/>
        </w:rPr>
        <w:t>Annexe au contrat de location et à l'état des lieux</w:t>
      </w:r>
    </w:p>
    <w:p>
      <w:pPr>
        <w:spacing w:before="0" w:after="0"/>
      </w:pPr>
      <w:r>
        <w:br/>
      </w:r>
    </w:p>
    <w:p>
      <w:pPr>
        <w:spacing w:before="0" w:after="31"/>
      </w:pPr>
      <w:r>
        <w:rPr>
          <w:rFonts w:ascii="Georgia" w:hAnsi="Georgia"/>
          <w:b w:val="0"/>
          <w:i w:val="0"/>
          <w:color w:val="141414"/>
          <w:sz w:val="20"/>
        </w:rPr>
        <w:t>L'article 4 du décret n° 2016-382 permet aux parties de convenir de l'application d'une grille de vétusté choisie parmi celles ayant fait l'objet d'un accord collectif de location conclu en Commission nationale de concertation, ou d'un accord collectif local — et ce même si le logement ne relève pas du secteur régi par l'accord.</w:t>
      </w:r>
    </w:p>
    <w:p>
      <w:pPr>
        <w:spacing w:before="0" w:after="25"/>
      </w:pPr>
      <w:r>
        <w:rPr>
          <w:rFonts w:ascii="Georgia" w:hAnsi="Georgia"/>
          <w:b w:val="0"/>
          <w:i w:val="0"/>
          <w:color w:val="141414"/>
          <w:sz w:val="20"/>
        </w:rPr>
        <w:t>Les valeurs de la présente grille reprennent celles de la grille de l'OPAC de Paris, issue d'un accord collectif de location. Elle est annexée ici comme grille contractuelle : elle n'engage les parties que par leur signature commune. D'autres grilles d'accord collectif existent — il n'existe aucune grille « officielle » unique.</w:t>
      </w:r>
    </w:p>
    <w:p>
      <w:pPr>
        <w:spacing w:before="200" w:after="280"/>
        <w:pBdr>
          <w:bottom w:val="single" w:sz="6" w:space="2" w:color="8A6D3B"/>
        </w:pBdr>
        <w:keepNext w:val="true"/>
        <w:keepLines w:val="true"/>
      </w:pPr>
      <w:r>
        <w:rPr>
          <w:rFonts w:ascii="Helvetica Neue" w:hAnsi="Helvetica Neue"/>
          <w:b/>
          <w:i w:val="0"/>
          <w:color w:val="141414"/>
          <w:sz w:val="22"/>
        </w:rPr>
        <w:t>1. Ce qu'est la vétusté</w:t>
      </w:r>
    </w:p>
    <w:p>
      <w:pPr>
        <w:spacing w:before="0" w:after="31"/>
      </w:pPr>
      <w:r>
        <w:rPr>
          <w:rFonts w:ascii="Georgia" w:hAnsi="Georgia"/>
          <w:b w:val="0"/>
          <w:i w:val="0"/>
          <w:color w:val="141414"/>
          <w:sz w:val="20"/>
        </w:rPr>
        <w:t xml:space="preserve">En application de l'article 7 de la loi du 6 juillet 1989, la vétusté est définie comme </w:t>
      </w:r>
      <w:r>
        <w:rPr>
          <w:rFonts w:ascii="Georgia" w:hAnsi="Georgia"/>
          <w:b/>
          <w:i w:val="0"/>
          <w:color w:val="141414"/>
          <w:sz w:val="20"/>
        </w:rPr>
        <w:t>l'état d'usure ou de détérioration résultant du temps ou de l'usage normal des matériaux et éléments d'équipement dont est constitué le logement</w:t>
      </w:r>
      <w:r>
        <w:rPr>
          <w:rFonts w:ascii="Georgia" w:hAnsi="Georgia"/>
          <w:b w:val="0"/>
          <w:i w:val="0"/>
          <w:color w:val="141414"/>
          <w:sz w:val="20"/>
        </w:rPr>
        <w:t>.</w:t>
      </w:r>
    </w:p>
    <w:p>
      <w:pPr>
        <w:spacing w:before="0" w:after="31"/>
      </w:pPr>
      <w:r>
        <w:rPr>
          <w:rFonts w:ascii="Georgia" w:hAnsi="Georgia"/>
          <w:b w:val="0"/>
          <w:i w:val="0"/>
          <w:color w:val="141414"/>
          <w:sz w:val="20"/>
        </w:rPr>
        <w:t xml:space="preserve">La vétusté n'est </w:t>
      </w:r>
      <w:r>
        <w:rPr>
          <w:rFonts w:ascii="Georgia" w:hAnsi="Georgia"/>
          <w:b/>
          <w:i w:val="0"/>
          <w:color w:val="141414"/>
          <w:sz w:val="20"/>
        </w:rPr>
        <w:t>pas</w:t>
      </w:r>
      <w:r>
        <w:rPr>
          <w:rFonts w:ascii="Georgia" w:hAnsi="Georgia"/>
          <w:b w:val="0"/>
          <w:i w:val="0"/>
          <w:color w:val="141414"/>
          <w:sz w:val="20"/>
        </w:rPr>
        <w:t xml:space="preserve"> à la charge du locataire. Celui-ci ne répond que des dégradations et pertes survenues pendant la durée du contrat, à l'exclusion de ce qui relève de l'usure normale, de la force majeure, de la faute du bailleur ou du fait d'un tiers.</w:t>
      </w:r>
    </w:p>
    <w:p>
      <w:pPr>
        <w:spacing w:before="0" w:after="25"/>
      </w:pPr>
      <w:r>
        <w:rPr>
          <w:rFonts w:ascii="Georgia" w:hAnsi="Georgia"/>
          <w:b w:val="0"/>
          <w:i w:val="0"/>
          <w:color w:val="141414"/>
          <w:sz w:val="20"/>
        </w:rPr>
        <w:t xml:space="preserve">La grille sert à trancher, au départ du locataire, la question qui provoque presque tous les litiges sur le dépôt de garantie : </w:t>
      </w:r>
      <w:r>
        <w:rPr>
          <w:rFonts w:ascii="Georgia" w:hAnsi="Georgia"/>
          <w:b/>
          <w:i w:val="0"/>
          <w:color w:val="141414"/>
          <w:sz w:val="20"/>
        </w:rPr>
        <w:t>parmi ce qui est abîmé, qu'est-ce qui est simplement usé ?</w:t>
      </w:r>
    </w:p>
    <w:p>
      <w:pPr>
        <w:spacing w:before="200" w:after="269"/>
        <w:pBdr>
          <w:bottom w:val="single" w:sz="6" w:space="2" w:color="8A6D3B"/>
        </w:pBdr>
        <w:keepNext w:val="true"/>
        <w:keepLines w:val="true"/>
      </w:pPr>
      <w:r>
        <w:rPr>
          <w:rFonts w:ascii="Helvetica Neue" w:hAnsi="Helvetica Neue"/>
          <w:b/>
          <w:i w:val="0"/>
          <w:color w:val="141414"/>
          <w:sz w:val="22"/>
        </w:rPr>
        <w:t>2. Comment elle se lit</w:t>
      </w:r>
    </w:p>
    <w:p>
      <w:pPr>
        <w:spacing w:before="0" w:after="190"/>
      </w:pPr>
      <w:r>
        <w:rPr>
          <w:rFonts w:ascii="Georgia" w:hAnsi="Georgia"/>
          <w:b w:val="0"/>
          <w:i w:val="0"/>
          <w:color w:val="141414"/>
          <w:sz w:val="20"/>
        </w:rPr>
        <w:t>Pour chaque matériau ou équipement, la grille définit :</w:t>
      </w:r>
    </w:p>
    <w:p>
      <w:pPr>
        <w:spacing w:before="0" w:after="88"/>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une durée de vie théorique — au-delà, l'élément est considéré comme entièrement amorti ;</w:t>
      </w:r>
    </w:p>
    <w:p>
      <w:pPr>
        <w:spacing w:before="0" w:after="93"/>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une franchise — les premières années, pendant lesquelles aucun abattement ne s'applique ;</w:t>
      </w:r>
    </w:p>
    <w:p>
      <w:pPr>
        <w:spacing w:before="0" w:after="25"/>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un coefficient d'abattement annuel — la part de la valeur qui disparaît chaque année après la franchise ;</w:t>
      </w:r>
    </w:p>
    <w:p>
      <w:pPr>
        <w:spacing w:before="0" w:after="31"/>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une part résiduelle — le minimum qui reste à la charge du locataire, quel que soit l'âge de l'élément, dès lors que la dégradation excède l'usage normal.</w:t>
      </w:r>
    </w:p>
    <w:p>
      <w:pPr>
        <w:spacing w:before="0" w:after="25"/>
      </w:pPr>
      <w:r>
        <w:rPr>
          <w:rFonts w:ascii="Georgia" w:hAnsi="Georgia"/>
          <w:b/>
          <w:i w:val="0"/>
          <w:color w:val="141414"/>
          <w:sz w:val="20"/>
        </w:rPr>
        <w:t>Calcul.</w:t>
      </w:r>
      <w:r>
        <w:rPr>
          <w:rFonts w:ascii="Georgia" w:hAnsi="Georgia"/>
          <w:b w:val="0"/>
          <w:i w:val="0"/>
          <w:color w:val="141414"/>
          <w:sz w:val="20"/>
        </w:rPr>
        <w:t xml:space="preserve"> Part restant à la charge du locataire = coût de la réparation × [ 100 % − ( nombre d'années écoulées au-delà de la franchise × coefficient d'abattement ) ], sans jamais descendre en dessous de la part résiduelle.</w:t>
      </w:r>
    </w:p>
    <w:p>
      <w:pPr>
        <w:spacing w:before="200" w:after="240"/>
        <w:pBdr>
          <w:bottom w:val="single" w:sz="6" w:space="2" w:color="8A6D3B"/>
        </w:pBdr>
        <w:keepNext w:val="true"/>
        <w:keepLines w:val="true"/>
      </w:pPr>
      <w:r>
        <w:rPr>
          <w:rFonts w:ascii="Helvetica Neue" w:hAnsi="Helvetica Neue"/>
          <w:b/>
          <w:i w:val="0"/>
          <w:color w:val="141414"/>
          <w:sz w:val="22"/>
        </w:rPr>
        <w:t>3. La grille</w:t>
      </w:r>
    </w:p>
    <w:p>
      <w:pPr>
        <w:spacing w:before="0" w:after="309"/>
      </w:pPr>
      <w:r>
        <w:rPr>
          <w:rFonts w:ascii="Georgia" w:hAnsi="Georgia"/>
          <w:b w:val="0"/>
          <w:i/>
          <w:color w:val="434343"/>
          <w:sz w:val="17"/>
        </w:rPr>
        <w:t>Une case laissée vide vaut absence d'abattement convenu pour cet élément.</w:t>
      </w:r>
    </w:p>
    <w:p>
      <w:pPr>
        <w:spacing w:before="0" w:after="184"/>
        <w:keepNext w:val="true"/>
        <w:keepLines w:val="true"/>
      </w:pPr>
      <w:r>
        <w:rPr>
          <w:rFonts w:ascii="Helvetica Neue" w:hAnsi="Helvetica Neue"/>
          <w:b/>
          <w:i w:val="0"/>
          <w:color w:val="2C2C2C"/>
          <w:sz w:val="19"/>
        </w:rPr>
        <w:t>3.1 Plomberie, sanitaires, chauffage</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53" w:type="dxa"/>
          <w:bottom w:w="34" w:type="dxa"/>
          <w:right w:w="153" w:type="dxa"/>
        </w:tblCellMar>
      </w:tblPr>
      <w:tblGrid>
        <w:gridCol w:w="1874"/>
        <w:gridCol w:w="1891"/>
        <w:gridCol w:w="1880"/>
        <w:gridCol w:w="1891"/>
        <w:gridCol w:w="1880"/>
      </w:tblGrid>
      <w:tr>
        <w:trPr>
          <w:trHeight w:val="629" w:hRule="atLeast"/>
          <w:cantSplit w:val="true"/>
          <w:tblHeader w:val="true"/>
        </w:trPr>
        <w:tc>
          <w:tcPr>
            <w:tcW w:type="dxa" w:w="1883"/>
            <w:tcW w:w="1874" w:type="dxa"/>
            <w:vAlign w:val="center"/>
            <w:shd w:val="clear" w:color="auto" w:fill="F5F3EE"/>
          </w:tcPr>
          <w:p>
            <w:pPr>
              <w:spacing w:before="0" w:after="0"/>
            </w:pPr>
            <w:r>
              <w:rPr>
                <w:rFonts w:ascii="Times" w:hAnsi="Times"/>
                <w:b/>
                <w:i w:val="0"/>
                <w:color w:val="000000"/>
                <w:sz w:val="14"/>
              </w:rPr>
              <w:t>Élément</w:t>
            </w:r>
          </w:p>
        </w:tc>
        <w:tc>
          <w:tcPr>
            <w:tcW w:type="dxa" w:w="1883"/>
            <w:tcW w:w="1891" w:type="dxa"/>
            <w:vAlign w:val="center"/>
            <w:shd w:val="clear" w:color="auto" w:fill="F5F3EE"/>
          </w:tcPr>
          <w:p>
            <w:pPr>
              <w:spacing w:before="0" w:after="0"/>
            </w:pPr>
            <w:r>
              <w:rPr>
                <w:rFonts w:ascii="Times" w:hAnsi="Times"/>
                <w:b/>
                <w:i w:val="0"/>
                <w:color w:val="000000"/>
                <w:sz w:val="14"/>
              </w:rPr>
              <w:t>Durée de vie théorique</w:t>
            </w:r>
          </w:p>
        </w:tc>
        <w:tc>
          <w:tcPr>
            <w:tcW w:type="dxa" w:w="1883"/>
            <w:tcW w:w="1880" w:type="dxa"/>
            <w:vAlign w:val="center"/>
            <w:shd w:val="clear" w:color="auto" w:fill="F5F3EE"/>
          </w:tcPr>
          <w:p>
            <w:pPr>
              <w:spacing w:before="0" w:after="0"/>
            </w:pPr>
            <w:r>
              <w:rPr>
                <w:rFonts w:ascii="Georgia" w:hAnsi="Georgia"/>
                <w:b w:val="0"/>
                <w:i w:val="0"/>
                <w:color w:val="141414"/>
                <w:sz w:val="20"/>
              </w:rPr>
              <w:t>Franchise</w:t>
            </w:r>
          </w:p>
        </w:tc>
        <w:tc>
          <w:tcPr>
            <w:tcW w:type="dxa" w:w="1883"/>
            <w:tcW w:w="1891" w:type="dxa"/>
            <w:vAlign w:val="center"/>
            <w:shd w:val="clear" w:color="auto" w:fill="F5F3EE"/>
          </w:tcPr>
          <w:p>
            <w:pPr>
              <w:spacing w:before="0" w:after="0"/>
            </w:pPr>
            <w:r>
              <w:rPr>
                <w:rFonts w:ascii="Times" w:hAnsi="Times"/>
                <w:b/>
                <w:i w:val="0"/>
                <w:color w:val="000000"/>
                <w:sz w:val="14"/>
              </w:rPr>
              <w:t>Abattement annuel</w:t>
            </w:r>
          </w:p>
        </w:tc>
        <w:tc>
          <w:tcPr>
            <w:tcW w:type="dxa" w:w="1883"/>
            <w:tcW w:w="1880" w:type="dxa"/>
            <w:vAlign w:val="center"/>
            <w:shd w:val="clear" w:color="auto" w:fill="F5F3EE"/>
          </w:tcPr>
          <w:p>
            <w:pPr>
              <w:spacing w:before="0" w:after="0"/>
            </w:pPr>
            <w:r>
              <w:rPr>
                <w:rFonts w:ascii="Georgia" w:hAnsi="Georgia"/>
                <w:b w:val="0"/>
                <w:i w:val="0"/>
                <w:color w:val="141414"/>
                <w:sz w:val="20"/>
              </w:rPr>
              <w:t>Part résiduelle</w:t>
            </w:r>
          </w:p>
        </w:tc>
      </w:tr>
      <w:tr>
        <w:trPr>
          <w:trHeight w:val="629" w:hRule="atLeast"/>
          <w:cantSplit w:val="true"/>
        </w:trPr>
        <w:tc>
          <w:tcPr>
            <w:tcW w:type="dxa" w:w="1883"/>
            <w:tcW w:w="1874" w:type="dxa"/>
            <w:vAlign w:val="center"/>
          </w:tcPr>
          <w:p>
            <w:pPr>
              <w:spacing w:before="0" w:after="0"/>
            </w:pPr>
            <w:r>
              <w:rPr>
                <w:rFonts w:ascii="Times" w:hAnsi="Times"/>
                <w:b/>
                <w:i w:val="0"/>
                <w:color w:val="000000"/>
                <w:sz w:val="14"/>
              </w:rPr>
              <w:t>Plomberie, canalisations</w:t>
            </w:r>
          </w:p>
        </w:tc>
        <w:tc>
          <w:tcPr>
            <w:tcW w:type="dxa" w:w="1883"/>
            <w:tcW w:w="1891" w:type="dxa"/>
            <w:vAlign w:val="center"/>
          </w:tcPr>
          <w:p>
            <w:pPr>
              <w:spacing w:before="0" w:after="0"/>
            </w:pPr>
            <w:r>
              <w:rPr>
                <w:rFonts w:ascii="Times" w:hAnsi="Times"/>
                <w:b/>
                <w:i w:val="0"/>
                <w:color w:val="000000"/>
                <w:sz w:val="14"/>
              </w:rPr>
              <w:t>15 ans</w:t>
            </w:r>
          </w:p>
        </w:tc>
        <w:tc>
          <w:tcPr>
            <w:tcW w:type="dxa" w:w="1883"/>
            <w:tcW w:w="1880" w:type="dxa"/>
            <w:vAlign w:val="center"/>
          </w:tcPr>
          <w:p>
            <w:pPr>
              <w:spacing w:before="0" w:after="0"/>
            </w:pPr>
            <w:r>
              <w:rPr>
                <w:rFonts w:ascii="Times" w:hAnsi="Times"/>
                <w:b/>
                <w:i w:val="0"/>
                <w:color w:val="000000"/>
                <w:sz w:val="14"/>
              </w:rPr>
              <w:t>5 ans</w:t>
            </w:r>
          </w:p>
        </w:tc>
        <w:tc>
          <w:tcPr>
            <w:tcW w:type="dxa" w:w="1883"/>
            <w:tcW w:w="1891" w:type="dxa"/>
            <w:vAlign w:val="center"/>
          </w:tcPr>
          <w:p>
            <w:pPr>
              <w:spacing w:before="0" w:after="0"/>
            </w:pPr>
            <w:r>
              <w:rPr>
                <w:rFonts w:ascii="Times" w:hAnsi="Times"/>
                <w:b/>
                <w:i w:val="0"/>
                <w:color w:val="000000"/>
                <w:sz w:val="14"/>
              </w:rPr>
              <w:t>8 %</w:t>
            </w:r>
          </w:p>
        </w:tc>
        <w:tc>
          <w:tcPr>
            <w:tcW w:type="dxa" w:w="1883"/>
            <w:tcW w:w="1880" w:type="dxa"/>
            <w:vAlign w:val="center"/>
          </w:tcPr>
          <w:p>
            <w:pPr>
              <w:spacing w:before="0" w:after="0"/>
            </w:pPr>
            <w:r>
              <w:rPr>
                <w:rFonts w:ascii="Times" w:hAnsi="Times"/>
                <w:b/>
                <w:i w:val="0"/>
                <w:color w:val="000000"/>
                <w:sz w:val="14"/>
              </w:rPr>
              <w:t>20 %</w:t>
            </w:r>
          </w:p>
        </w:tc>
      </w:tr>
      <w:tr>
        <w:trPr>
          <w:trHeight w:val="629" w:hRule="atLeast"/>
          <w:cantSplit w:val="true"/>
        </w:trPr>
        <w:tc>
          <w:tcPr>
            <w:tcW w:type="dxa" w:w="1883"/>
            <w:tcW w:w="1874" w:type="dxa"/>
            <w:vAlign w:val="center"/>
          </w:tcPr>
          <w:p>
            <w:pPr>
              <w:spacing w:before="0" w:after="0"/>
            </w:pPr>
            <w:r>
              <w:rPr>
                <w:rFonts w:ascii="Times" w:hAnsi="Times"/>
                <w:b/>
                <w:i w:val="0"/>
                <w:color w:val="000000"/>
                <w:sz w:val="14"/>
              </w:rPr>
              <w:t>Appareils sanitaires</w:t>
            </w:r>
          </w:p>
        </w:tc>
        <w:tc>
          <w:tcPr>
            <w:tcW w:type="dxa" w:w="1883"/>
            <w:tcW w:w="1891" w:type="dxa"/>
            <w:vAlign w:val="center"/>
          </w:tcPr>
          <w:p>
            <w:pPr>
              <w:spacing w:before="0" w:after="0"/>
            </w:pPr>
            <w:r>
              <w:rPr>
                <w:rFonts w:ascii="Times" w:hAnsi="Times"/>
                <w:b/>
                <w:i w:val="0"/>
                <w:color w:val="000000"/>
                <w:sz w:val="14"/>
              </w:rPr>
              <w:t>20 ans</w:t>
            </w:r>
          </w:p>
        </w:tc>
        <w:tc>
          <w:tcPr>
            <w:tcW w:type="dxa" w:w="1883"/>
            <w:tcW w:w="1880" w:type="dxa"/>
            <w:vAlign w:val="center"/>
          </w:tcPr>
          <w:p>
            <w:pPr>
              <w:spacing w:before="0" w:after="0"/>
            </w:pPr>
            <w:r>
              <w:rPr>
                <w:rFonts w:ascii="Times" w:hAnsi="Times"/>
                <w:b/>
                <w:i w:val="0"/>
                <w:color w:val="000000"/>
                <w:sz w:val="14"/>
              </w:rPr>
              <w:t>5 ans</w:t>
            </w:r>
          </w:p>
        </w:tc>
        <w:tc>
          <w:tcPr>
            <w:tcW w:type="dxa" w:w="1883"/>
            <w:tcW w:w="1891" w:type="dxa"/>
            <w:vAlign w:val="center"/>
          </w:tcPr>
          <w:p>
            <w:pPr>
              <w:spacing w:before="0" w:after="0"/>
            </w:pPr>
            <w:r>
              <w:rPr>
                <w:rFonts w:ascii="Times" w:hAnsi="Times"/>
                <w:b/>
                <w:i w:val="0"/>
                <w:color w:val="000000"/>
                <w:sz w:val="14"/>
              </w:rPr>
              <w:t>5 %</w:t>
            </w:r>
          </w:p>
        </w:tc>
        <w:tc>
          <w:tcPr>
            <w:tcW w:type="dxa" w:w="1883"/>
            <w:tcW w:w="1880" w:type="dxa"/>
            <w:vAlign w:val="center"/>
          </w:tcPr>
          <w:p>
            <w:pPr>
              <w:spacing w:before="0" w:after="0"/>
            </w:pPr>
            <w:r>
              <w:rPr>
                <w:rFonts w:ascii="Times" w:hAnsi="Times"/>
                <w:b/>
                <w:i w:val="0"/>
                <w:color w:val="000000"/>
                <w:sz w:val="14"/>
              </w:rPr>
              <w:t>25 %</w:t>
            </w:r>
          </w:p>
        </w:tc>
      </w:tr>
      <w:tr>
        <w:trPr>
          <w:trHeight w:val="629" w:hRule="atLeast"/>
          <w:cantSplit w:val="true"/>
        </w:trPr>
        <w:tc>
          <w:tcPr>
            <w:tcW w:type="dxa" w:w="1883"/>
            <w:tcW w:w="1874" w:type="dxa"/>
            <w:vAlign w:val="center"/>
          </w:tcPr>
          <w:p>
            <w:pPr>
              <w:spacing w:before="0" w:after="0"/>
            </w:pPr>
            <w:r>
              <w:rPr>
                <w:rFonts w:ascii="Times" w:hAnsi="Times"/>
                <w:b/>
                <w:i w:val="0"/>
                <w:color w:val="000000"/>
                <w:sz w:val="14"/>
              </w:rPr>
              <w:t>Chauffage : réseau et radiateurs</w:t>
            </w:r>
          </w:p>
        </w:tc>
        <w:tc>
          <w:tcPr>
            <w:tcW w:type="dxa" w:w="1883"/>
            <w:tcW w:w="1891" w:type="dxa"/>
            <w:vAlign w:val="center"/>
          </w:tcPr>
          <w:p>
            <w:pPr>
              <w:spacing w:before="0" w:after="0"/>
            </w:pPr>
            <w:r>
              <w:rPr>
                <w:rFonts w:ascii="Times" w:hAnsi="Times"/>
                <w:b/>
                <w:i w:val="0"/>
                <w:color w:val="000000"/>
                <w:sz w:val="14"/>
              </w:rPr>
              <w:t>25 ans</w:t>
            </w:r>
          </w:p>
        </w:tc>
        <w:tc>
          <w:tcPr>
            <w:tcW w:type="dxa" w:w="1883"/>
            <w:tcW w:w="1880" w:type="dxa"/>
            <w:vAlign w:val="center"/>
          </w:tcPr>
          <w:p>
            <w:pPr>
              <w:spacing w:before="0" w:after="0"/>
            </w:pPr>
            <w:r>
              <w:rPr>
                <w:rFonts w:ascii="Times" w:hAnsi="Times"/>
                <w:b/>
                <w:i w:val="0"/>
                <w:color w:val="000000"/>
                <w:sz w:val="14"/>
              </w:rPr>
              <w:t>5 ans</w:t>
            </w:r>
          </w:p>
        </w:tc>
        <w:tc>
          <w:tcPr>
            <w:tcW w:type="dxa" w:w="1883"/>
            <w:tcW w:w="1891" w:type="dxa"/>
            <w:vAlign w:val="center"/>
          </w:tcPr>
          <w:p>
            <w:pPr>
              <w:spacing w:before="0" w:after="0"/>
            </w:pPr>
            <w:r>
              <w:rPr>
                <w:rFonts w:ascii="Times" w:hAnsi="Times"/>
                <w:b/>
                <w:i w:val="0"/>
                <w:color w:val="000000"/>
                <w:sz w:val="14"/>
              </w:rPr>
              <w:t>4 %</w:t>
            </w:r>
          </w:p>
        </w:tc>
        <w:tc>
          <w:tcPr>
            <w:tcW w:type="dxa" w:w="1883"/>
            <w:tcW w:w="1880" w:type="dxa"/>
            <w:vAlign w:val="center"/>
          </w:tcPr>
          <w:p>
            <w:pPr>
              <w:spacing w:before="0" w:after="0"/>
            </w:pPr>
            <w:r>
              <w:rPr>
                <w:rFonts w:ascii="Times" w:hAnsi="Times"/>
                <w:b/>
                <w:i w:val="0"/>
                <w:color w:val="000000"/>
                <w:sz w:val="14"/>
              </w:rPr>
              <w:t>20 %</w:t>
            </w:r>
          </w:p>
        </w:tc>
      </w:tr>
      <w:tr>
        <w:trPr>
          <w:trHeight w:val="629" w:hRule="atLeast"/>
          <w:cantSplit w:val="true"/>
        </w:trPr>
        <w:tc>
          <w:tcPr>
            <w:tcW w:type="dxa" w:w="1883"/>
            <w:tcW w:w="1874" w:type="dxa"/>
            <w:vAlign w:val="center"/>
          </w:tcPr>
          <w:p>
            <w:pPr>
              <w:spacing w:before="0" w:after="0"/>
            </w:pPr>
            <w:r>
              <w:rPr>
                <w:rFonts w:ascii="Times" w:hAnsi="Times"/>
                <w:b/>
                <w:i w:val="0"/>
                <w:color w:val="000000"/>
                <w:sz w:val="14"/>
              </w:rPr>
              <w:t>Appareil gaz de chauffage et/ou production d'eau chaude sanitaire (et organe de régulation)</w:t>
            </w:r>
          </w:p>
        </w:tc>
        <w:tc>
          <w:tcPr>
            <w:tcW w:type="dxa" w:w="1883"/>
            <w:tcW w:w="1891" w:type="dxa"/>
            <w:vAlign w:val="center"/>
          </w:tcPr>
          <w:p>
            <w:pPr>
              <w:spacing w:before="0" w:after="0"/>
            </w:pPr>
            <w:r>
              <w:rPr>
                <w:rFonts w:ascii="Times" w:hAnsi="Times"/>
                <w:b/>
                <w:i w:val="0"/>
                <w:color w:val="000000"/>
                <w:sz w:val="14"/>
              </w:rPr>
              <w:t>15 ans</w:t>
            </w:r>
          </w:p>
        </w:tc>
        <w:tc>
          <w:tcPr>
            <w:tcW w:type="dxa" w:w="1883"/>
            <w:tcW w:w="1880" w:type="dxa"/>
            <w:vAlign w:val="center"/>
          </w:tcPr>
          <w:p>
            <w:pPr>
              <w:spacing w:before="0" w:after="0"/>
            </w:pPr>
            <w:r>
              <w:rPr>
                <w:rFonts w:ascii="Times" w:hAnsi="Times"/>
                <w:b/>
                <w:i w:val="0"/>
                <w:color w:val="000000"/>
                <w:sz w:val="14"/>
              </w:rPr>
              <w:t>5 ans</w:t>
            </w:r>
          </w:p>
        </w:tc>
        <w:tc>
          <w:tcPr>
            <w:tcW w:type="dxa" w:w="1883"/>
            <w:tcW w:w="1891" w:type="dxa"/>
            <w:vAlign w:val="center"/>
          </w:tcPr>
          <w:p>
            <w:pPr>
              <w:spacing w:before="0" w:after="0"/>
            </w:pPr>
            <w:r>
              <w:rPr>
                <w:rFonts w:ascii="Times" w:hAnsi="Times"/>
                <w:b/>
                <w:i w:val="0"/>
                <w:color w:val="000000"/>
                <w:sz w:val="14"/>
              </w:rPr>
              <w:t>8 %</w:t>
            </w:r>
          </w:p>
        </w:tc>
        <w:tc>
          <w:tcPr>
            <w:tcW w:type="dxa" w:w="1883"/>
            <w:tcW w:w="1880" w:type="dxa"/>
            <w:vAlign w:val="center"/>
          </w:tcPr>
          <w:p>
            <w:pPr>
              <w:spacing w:before="0" w:after="0"/>
            </w:pPr>
            <w:r>
              <w:rPr>
                <w:rFonts w:ascii="Times" w:hAnsi="Times"/>
                <w:b/>
                <w:i w:val="0"/>
                <w:color w:val="000000"/>
                <w:sz w:val="14"/>
              </w:rPr>
              <w:t>20 %</w:t>
            </w:r>
          </w:p>
        </w:tc>
      </w:tr>
      <w:tr>
        <w:trPr>
          <w:trHeight w:val="629" w:hRule="atLeast"/>
          <w:cantSplit w:val="true"/>
        </w:trPr>
        <w:tc>
          <w:tcPr>
            <w:tcW w:type="dxa" w:w="1883"/>
            <w:tcW w:w="1874" w:type="dxa"/>
            <w:vAlign w:val="center"/>
          </w:tcPr>
          <w:p>
            <w:pPr>
              <w:spacing w:before="0" w:after="0"/>
            </w:pPr>
            <w:r>
              <w:rPr>
                <w:rFonts w:ascii="Times" w:hAnsi="Times"/>
                <w:b/>
                <w:i w:val="0"/>
                <w:color w:val="000000"/>
                <w:sz w:val="14"/>
              </w:rPr>
              <w:t>Appareil électrique de chauffage et/ou production d'eau chaude sanitaire</w:t>
            </w:r>
          </w:p>
        </w:tc>
        <w:tc>
          <w:tcPr>
            <w:tcW w:type="dxa" w:w="1883"/>
            <w:tcW w:w="1891" w:type="dxa"/>
            <w:vAlign w:val="center"/>
          </w:tcPr>
          <w:p>
            <w:pPr>
              <w:spacing w:before="0" w:after="0"/>
            </w:pPr>
            <w:r>
              <w:rPr>
                <w:rFonts w:ascii="Times" w:hAnsi="Times"/>
                <w:b/>
                <w:i w:val="0"/>
                <w:color w:val="000000"/>
                <w:sz w:val="14"/>
              </w:rPr>
              <w:t>10 ans</w:t>
            </w:r>
          </w:p>
        </w:tc>
        <w:tc>
          <w:tcPr>
            <w:tcW w:type="dxa" w:w="1883"/>
            <w:tcW w:w="1880" w:type="dxa"/>
            <w:vAlign w:val="center"/>
          </w:tcPr>
          <w:p>
            <w:pPr>
              <w:spacing w:before="0" w:after="0"/>
            </w:pPr>
            <w:r>
              <w:rPr>
                <w:rFonts w:ascii="Times" w:hAnsi="Times"/>
                <w:b/>
                <w:i w:val="0"/>
                <w:color w:val="000000"/>
                <w:sz w:val="14"/>
              </w:rPr>
              <w:t>2 ans</w:t>
            </w:r>
          </w:p>
        </w:tc>
        <w:tc>
          <w:tcPr>
            <w:tcW w:type="dxa" w:w="1883"/>
            <w:tcW w:w="1891" w:type="dxa"/>
            <w:vAlign w:val="center"/>
          </w:tcPr>
          <w:p>
            <w:pPr>
              <w:spacing w:before="0" w:after="0"/>
            </w:pPr>
            <w:r>
              <w:rPr>
                <w:rFonts w:ascii="Times" w:hAnsi="Times"/>
                <w:b/>
                <w:i w:val="0"/>
                <w:color w:val="000000"/>
                <w:sz w:val="14"/>
              </w:rPr>
              <w:t>10 %</w:t>
            </w:r>
          </w:p>
        </w:tc>
        <w:tc>
          <w:tcPr>
            <w:tcW w:type="dxa" w:w="1883"/>
            <w:tcW w:w="1880" w:type="dxa"/>
            <w:vAlign w:val="center"/>
          </w:tcPr>
          <w:p>
            <w:pPr>
              <w:spacing w:before="0" w:after="0"/>
            </w:pPr>
            <w:r>
              <w:rPr>
                <w:rFonts w:ascii="Times" w:hAnsi="Times"/>
                <w:b/>
                <w:i w:val="0"/>
                <w:color w:val="000000"/>
                <w:sz w:val="14"/>
              </w:rPr>
              <w:t>20 %</w:t>
            </w:r>
          </w:p>
        </w:tc>
      </w:tr>
      <w:tr>
        <w:trPr>
          <w:trHeight w:val="629" w:hRule="atLeast"/>
          <w:cantSplit w:val="true"/>
        </w:trPr>
        <w:tc>
          <w:tcPr>
            <w:tcW w:type="dxa" w:w="1883"/>
            <w:tcW w:w="1874" w:type="dxa"/>
            <w:vAlign w:val="center"/>
          </w:tcPr>
          <w:p>
            <w:pPr>
              <w:spacing w:before="0" w:after="0"/>
            </w:pPr>
            <w:r>
              <w:rPr>
                <w:rFonts w:ascii="Times" w:hAnsi="Times"/>
                <w:b/>
                <w:i w:val="0"/>
                <w:color w:val="000000"/>
                <w:sz w:val="14"/>
              </w:rPr>
              <w:t>Robinetterie (y compris mécanisme de chasse et robinet de radiateur)</w:t>
            </w:r>
          </w:p>
        </w:tc>
        <w:tc>
          <w:tcPr>
            <w:tcW w:type="dxa" w:w="1883"/>
            <w:tcW w:w="1891" w:type="dxa"/>
            <w:vAlign w:val="center"/>
          </w:tcPr>
          <w:p>
            <w:pPr>
              <w:spacing w:before="0" w:after="0"/>
            </w:pPr>
            <w:r>
              <w:rPr>
                <w:rFonts w:ascii="Times" w:hAnsi="Times"/>
                <w:b/>
                <w:i w:val="0"/>
                <w:color w:val="000000"/>
                <w:sz w:val="14"/>
              </w:rPr>
              <w:t>10 ans</w:t>
            </w:r>
          </w:p>
        </w:tc>
        <w:tc>
          <w:tcPr>
            <w:tcW w:type="dxa" w:w="1883"/>
            <w:tcW w:w="1880" w:type="dxa"/>
            <w:vAlign w:val="center"/>
          </w:tcPr>
          <w:p>
            <w:pPr>
              <w:spacing w:before="0" w:after="0"/>
            </w:pPr>
            <w:r>
              <w:rPr>
                <w:rFonts w:ascii="Times" w:hAnsi="Times"/>
                <w:b/>
                <w:i w:val="0"/>
                <w:color w:val="000000"/>
                <w:sz w:val="14"/>
              </w:rPr>
              <w:t>2 ans</w:t>
            </w:r>
          </w:p>
        </w:tc>
        <w:tc>
          <w:tcPr>
            <w:tcW w:type="dxa" w:w="1883"/>
            <w:tcW w:w="1891" w:type="dxa"/>
            <w:vAlign w:val="center"/>
          </w:tcPr>
          <w:p>
            <w:pPr>
              <w:spacing w:before="0" w:after="0"/>
            </w:pPr>
            <w:r>
              <w:rPr>
                <w:rFonts w:ascii="Times" w:hAnsi="Times"/>
                <w:b/>
                <w:i w:val="0"/>
                <w:color w:val="000000"/>
                <w:sz w:val="14"/>
              </w:rPr>
              <w:t>10 %</w:t>
            </w:r>
          </w:p>
        </w:tc>
        <w:tc>
          <w:tcPr>
            <w:tcW w:type="dxa" w:w="1883"/>
            <w:tcW w:w="1880" w:type="dxa"/>
            <w:vAlign w:val="center"/>
          </w:tcPr>
          <w:p>
            <w:pPr>
              <w:spacing w:before="0" w:after="0"/>
            </w:pPr>
            <w:r>
              <w:rPr>
                <w:rFonts w:ascii="Times" w:hAnsi="Times"/>
                <w:b/>
                <w:i w:val="0"/>
                <w:color w:val="000000"/>
                <w:sz w:val="14"/>
              </w:rPr>
              <w:t>20 %</w:t>
            </w:r>
          </w:p>
        </w:tc>
      </w:tr>
    </w:tbl>
    <w:p>
      <w:pPr>
        <w:spacing w:after="120" w:before="0"/>
      </w:pPr>
    </w:p>
    <w:p>
      <w:pPr>
        <w:spacing w:before="0" w:after="184"/>
        <w:keepNext w:val="true"/>
        <w:keepLines w:val="true"/>
      </w:pPr>
      <w:r>
        <w:rPr>
          <w:rFonts w:ascii="Helvetica Neue" w:hAnsi="Helvetica Neue"/>
          <w:b/>
          <w:i w:val="0"/>
          <w:color w:val="2C2C2C"/>
          <w:sz w:val="19"/>
        </w:rPr>
        <w:t>3.2 Électricité et quincaillerie</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53" w:type="dxa"/>
          <w:bottom w:w="34" w:type="dxa"/>
          <w:right w:w="153" w:type="dxa"/>
        </w:tblCellMar>
      </w:tblPr>
      <w:tblGrid>
        <w:gridCol w:w="1874"/>
        <w:gridCol w:w="1891"/>
        <w:gridCol w:w="1880"/>
        <w:gridCol w:w="1891"/>
        <w:gridCol w:w="1880"/>
      </w:tblGrid>
      <w:tr>
        <w:trPr>
          <w:trHeight w:val="646" w:hRule="atLeast"/>
          <w:cantSplit w:val="true"/>
          <w:tblHeader w:val="true"/>
        </w:trPr>
        <w:tc>
          <w:tcPr>
            <w:tcW w:type="dxa" w:w="1883"/>
            <w:tcW w:w="1874" w:type="dxa"/>
            <w:vAlign w:val="center"/>
            <w:shd w:val="clear" w:color="auto" w:fill="F5F3EE"/>
          </w:tcPr>
          <w:p>
            <w:pPr>
              <w:spacing w:before="0" w:after="0"/>
            </w:pPr>
            <w:r>
              <w:rPr>
                <w:rFonts w:ascii="Times" w:hAnsi="Times"/>
                <w:b/>
                <w:i w:val="0"/>
                <w:color w:val="000000"/>
                <w:sz w:val="14"/>
              </w:rPr>
              <w:t>Élément</w:t>
            </w:r>
          </w:p>
        </w:tc>
        <w:tc>
          <w:tcPr>
            <w:tcW w:type="dxa" w:w="1883"/>
            <w:tcW w:w="1891" w:type="dxa"/>
            <w:vAlign w:val="center"/>
            <w:shd w:val="clear" w:color="auto" w:fill="F5F3EE"/>
          </w:tcPr>
          <w:p>
            <w:pPr>
              <w:spacing w:before="0" w:after="0"/>
            </w:pPr>
            <w:r>
              <w:rPr>
                <w:rFonts w:ascii="Times" w:hAnsi="Times"/>
                <w:b/>
                <w:i w:val="0"/>
                <w:color w:val="000000"/>
                <w:sz w:val="14"/>
              </w:rPr>
              <w:t>Durée de vie théorique</w:t>
            </w:r>
          </w:p>
        </w:tc>
        <w:tc>
          <w:tcPr>
            <w:tcW w:type="dxa" w:w="1883"/>
            <w:tcW w:w="1880" w:type="dxa"/>
            <w:vAlign w:val="center"/>
            <w:shd w:val="clear" w:color="auto" w:fill="F5F3EE"/>
          </w:tcPr>
          <w:p>
            <w:pPr>
              <w:spacing w:before="0" w:after="0"/>
            </w:pPr>
            <w:r>
              <w:rPr>
                <w:rFonts w:ascii="Georgia" w:hAnsi="Georgia"/>
                <w:b w:val="0"/>
                <w:i w:val="0"/>
                <w:color w:val="141414"/>
                <w:sz w:val="20"/>
              </w:rPr>
              <w:t>Franchise</w:t>
            </w:r>
          </w:p>
        </w:tc>
        <w:tc>
          <w:tcPr>
            <w:tcW w:type="dxa" w:w="1883"/>
            <w:tcW w:w="1891" w:type="dxa"/>
            <w:vAlign w:val="center"/>
            <w:shd w:val="clear" w:color="auto" w:fill="F5F3EE"/>
          </w:tcPr>
          <w:p>
            <w:pPr>
              <w:spacing w:before="0" w:after="0"/>
            </w:pPr>
            <w:r>
              <w:rPr>
                <w:rFonts w:ascii="Times" w:hAnsi="Times"/>
                <w:b/>
                <w:i w:val="0"/>
                <w:color w:val="000000"/>
                <w:sz w:val="14"/>
              </w:rPr>
              <w:t>Abattement annuel</w:t>
            </w:r>
          </w:p>
        </w:tc>
        <w:tc>
          <w:tcPr>
            <w:tcW w:type="dxa" w:w="1883"/>
            <w:tcW w:w="1880" w:type="dxa"/>
            <w:vAlign w:val="center"/>
            <w:shd w:val="clear" w:color="auto" w:fill="F5F3EE"/>
          </w:tcPr>
          <w:p>
            <w:pPr>
              <w:spacing w:before="0" w:after="0"/>
            </w:pPr>
            <w:r>
              <w:rPr>
                <w:rFonts w:ascii="Georgia" w:hAnsi="Georgia"/>
                <w:b w:val="0"/>
                <w:i w:val="0"/>
                <w:color w:val="141414"/>
                <w:sz w:val="20"/>
              </w:rPr>
              <w:t>Part résiduelle</w:t>
            </w:r>
          </w:p>
        </w:tc>
      </w:tr>
      <w:tr>
        <w:trPr>
          <w:trHeight w:val="646" w:hRule="atLeast"/>
          <w:cantSplit w:val="true"/>
        </w:trPr>
        <w:tc>
          <w:tcPr>
            <w:tcW w:type="dxa" w:w="1883"/>
            <w:tcW w:w="1874" w:type="dxa"/>
            <w:vAlign w:val="center"/>
          </w:tcPr>
          <w:p>
            <w:pPr>
              <w:spacing w:before="0" w:after="0"/>
            </w:pPr>
            <w:r>
              <w:rPr>
                <w:rFonts w:ascii="Times" w:hAnsi="Times"/>
                <w:b/>
                <w:i w:val="0"/>
                <w:color w:val="000000"/>
                <w:sz w:val="14"/>
              </w:rPr>
              <w:t>Réseau électrique (y compris tableau)</w:t>
            </w:r>
          </w:p>
        </w:tc>
        <w:tc>
          <w:tcPr>
            <w:tcW w:type="dxa" w:w="1883"/>
            <w:tcW w:w="1891" w:type="dxa"/>
            <w:vAlign w:val="center"/>
          </w:tcPr>
          <w:p>
            <w:pPr>
              <w:spacing w:before="0" w:after="0"/>
            </w:pPr>
            <w:r>
              <w:rPr>
                <w:rFonts w:ascii="Times" w:hAnsi="Times"/>
                <w:b/>
                <w:i w:val="0"/>
                <w:color w:val="000000"/>
                <w:sz w:val="14"/>
              </w:rPr>
              <w:t>20 ans</w:t>
            </w:r>
          </w:p>
        </w:tc>
        <w:tc>
          <w:tcPr>
            <w:tcW w:type="dxa" w:w="1883"/>
            <w:tcW w:w="1880" w:type="dxa"/>
            <w:vAlign w:val="center"/>
          </w:tcPr>
          <w:p>
            <w:pPr>
              <w:spacing w:before="0" w:after="0"/>
            </w:pPr>
            <w:r>
              <w:rPr>
                <w:rFonts w:ascii="Times" w:hAnsi="Times"/>
                <w:b/>
                <w:i w:val="0"/>
                <w:color w:val="000000"/>
                <w:sz w:val="14"/>
              </w:rPr>
              <w:t>5 ans</w:t>
            </w:r>
          </w:p>
        </w:tc>
        <w:tc>
          <w:tcPr>
            <w:tcW w:type="dxa" w:w="1883"/>
            <w:tcW w:w="1891" w:type="dxa"/>
            <w:vAlign w:val="center"/>
          </w:tcPr>
          <w:p>
            <w:pPr>
              <w:spacing w:before="0" w:after="0"/>
            </w:pPr>
            <w:r>
              <w:rPr>
                <w:rFonts w:ascii="Times" w:hAnsi="Times"/>
                <w:b/>
                <w:i w:val="0"/>
                <w:color w:val="000000"/>
                <w:sz w:val="14"/>
              </w:rPr>
              <w:t>5 %</w:t>
            </w:r>
          </w:p>
        </w:tc>
        <w:tc>
          <w:tcPr>
            <w:tcW w:type="dxa" w:w="1883"/>
            <w:tcW w:w="1880" w:type="dxa"/>
            <w:vAlign w:val="center"/>
          </w:tcPr>
          <w:p>
            <w:pPr>
              <w:spacing w:before="0" w:after="0"/>
            </w:pPr>
            <w:r>
              <w:rPr>
                <w:rFonts w:ascii="Times" w:hAnsi="Times"/>
                <w:b/>
                <w:i w:val="0"/>
                <w:color w:val="000000"/>
                <w:sz w:val="14"/>
              </w:rPr>
              <w:t>25 %</w:t>
            </w:r>
          </w:p>
        </w:tc>
      </w:tr>
      <w:tr>
        <w:trPr>
          <w:trHeight w:val="646" w:hRule="atLeast"/>
          <w:cantSplit w:val="true"/>
        </w:trPr>
        <w:tc>
          <w:tcPr>
            <w:tcW w:type="dxa" w:w="1883"/>
            <w:tcW w:w="1874" w:type="dxa"/>
            <w:vAlign w:val="center"/>
          </w:tcPr>
          <w:p>
            <w:pPr>
              <w:spacing w:before="0" w:after="0"/>
            </w:pPr>
            <w:r>
              <w:rPr>
                <w:rFonts w:ascii="Times" w:hAnsi="Times"/>
                <w:b/>
                <w:i w:val="0"/>
                <w:color w:val="000000"/>
                <w:sz w:val="14"/>
              </w:rPr>
              <w:t>Quincaillerie</w:t>
            </w:r>
          </w:p>
        </w:tc>
        <w:tc>
          <w:tcPr>
            <w:tcW w:type="dxa" w:w="1883"/>
            <w:tcW w:w="1891" w:type="dxa"/>
            <w:vAlign w:val="center"/>
          </w:tcPr>
          <w:p>
            <w:pPr>
              <w:spacing w:before="0" w:after="0"/>
            </w:pPr>
            <w:r>
              <w:rPr>
                <w:rFonts w:ascii="Times" w:hAnsi="Times"/>
                <w:b/>
                <w:i w:val="0"/>
                <w:color w:val="000000"/>
                <w:sz w:val="14"/>
              </w:rPr>
              <w:t>10 ans</w:t>
            </w:r>
          </w:p>
        </w:tc>
        <w:tc>
          <w:tcPr>
            <w:tcW w:type="dxa" w:w="1883"/>
            <w:tcW w:w="1880" w:type="dxa"/>
            <w:vAlign w:val="center"/>
          </w:tcPr>
          <w:p>
            <w:pPr>
              <w:spacing w:before="0" w:after="0"/>
            </w:pPr>
            <w:r>
              <w:rPr>
                <w:rFonts w:ascii="Times" w:hAnsi="Times"/>
                <w:b/>
                <w:i w:val="0"/>
                <w:color w:val="000000"/>
                <w:sz w:val="14"/>
              </w:rPr>
              <w:t>2 ans</w:t>
            </w:r>
          </w:p>
        </w:tc>
        <w:tc>
          <w:tcPr>
            <w:tcW w:type="dxa" w:w="1883"/>
            <w:tcW w:w="1891" w:type="dxa"/>
            <w:vAlign w:val="center"/>
          </w:tcPr>
          <w:p>
            <w:pPr>
              <w:spacing w:before="0" w:after="0"/>
            </w:pPr>
            <w:r>
              <w:rPr>
                <w:rFonts w:ascii="Times" w:hAnsi="Times"/>
                <w:b/>
                <w:i w:val="0"/>
                <w:color w:val="000000"/>
                <w:sz w:val="14"/>
              </w:rPr>
              <w:t>10 %</w:t>
            </w:r>
          </w:p>
        </w:tc>
        <w:tc>
          <w:tcPr>
            <w:tcW w:type="dxa" w:w="1883"/>
            <w:tcW w:w="1880" w:type="dxa"/>
            <w:vAlign w:val="center"/>
          </w:tcPr>
          <w:p>
            <w:pPr>
              <w:spacing w:before="0" w:after="0"/>
            </w:pPr>
            <w:r>
              <w:rPr>
                <w:rFonts w:ascii="Times" w:hAnsi="Times"/>
                <w:b/>
                <w:i w:val="0"/>
                <w:color w:val="000000"/>
                <w:sz w:val="14"/>
              </w:rPr>
              <w:t>20 %</w:t>
            </w:r>
          </w:p>
        </w:tc>
      </w:tr>
    </w:tbl>
    <w:p>
      <w:pPr>
        <w:spacing w:after="120" w:before="0"/>
      </w:pPr>
    </w:p>
    <w:p>
      <w:pPr>
        <w:spacing w:before="0" w:after="190"/>
        <w:keepNext w:val="true"/>
        <w:keepLines w:val="true"/>
      </w:pPr>
      <w:r>
        <w:rPr>
          <w:rFonts w:ascii="Helvetica Neue" w:hAnsi="Helvetica Neue"/>
          <w:b/>
          <w:i w:val="0"/>
          <w:color w:val="2C2C2C"/>
          <w:sz w:val="19"/>
        </w:rPr>
        <w:t>3.3 Menuiseries, cuisine, revêtements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53" w:type="dxa"/>
          <w:bottom w:w="34" w:type="dxa"/>
          <w:right w:w="153" w:type="dxa"/>
        </w:tblCellMar>
      </w:tblPr>
      <w:tblGrid>
        <w:gridCol w:w="1874"/>
        <w:gridCol w:w="1891"/>
        <w:gridCol w:w="1880"/>
        <w:gridCol w:w="1891"/>
        <w:gridCol w:w="1880"/>
      </w:tblGrid>
      <w:tr>
        <w:trPr>
          <w:trHeight w:val="884" w:hRule="atLeast"/>
          <w:cantSplit w:val="true"/>
          <w:tblHeader w:val="true"/>
        </w:trPr>
        <w:tc>
          <w:tcPr>
            <w:tcW w:type="dxa" w:w="1883"/>
            <w:tcW w:w="1874" w:type="dxa"/>
            <w:vAlign w:val="center"/>
            <w:shd w:val="clear" w:color="auto" w:fill="F5F3EE"/>
          </w:tcPr>
          <w:p>
            <w:pPr>
              <w:spacing w:before="0" w:after="0"/>
            </w:pPr>
            <w:r>
              <w:rPr>
                <w:rFonts w:ascii="Times" w:hAnsi="Times"/>
                <w:b/>
                <w:i w:val="0"/>
                <w:color w:val="000000"/>
                <w:sz w:val="14"/>
              </w:rPr>
              <w:t>Élément</w:t>
            </w:r>
          </w:p>
        </w:tc>
        <w:tc>
          <w:tcPr>
            <w:tcW w:type="dxa" w:w="1883"/>
            <w:tcW w:w="1891" w:type="dxa"/>
            <w:vAlign w:val="center"/>
            <w:shd w:val="clear" w:color="auto" w:fill="F5F3EE"/>
          </w:tcPr>
          <w:p>
            <w:pPr>
              <w:spacing w:before="0" w:after="0"/>
            </w:pPr>
            <w:r>
              <w:rPr>
                <w:rFonts w:ascii="Times" w:hAnsi="Times"/>
                <w:b/>
                <w:i w:val="0"/>
                <w:color w:val="000000"/>
                <w:sz w:val="14"/>
              </w:rPr>
              <w:t>Durée de vie théorique</w:t>
            </w:r>
          </w:p>
        </w:tc>
        <w:tc>
          <w:tcPr>
            <w:tcW w:type="dxa" w:w="1883"/>
            <w:tcW w:w="1880" w:type="dxa"/>
            <w:vAlign w:val="center"/>
            <w:shd w:val="clear" w:color="auto" w:fill="F5F3EE"/>
          </w:tcPr>
          <w:p>
            <w:pPr>
              <w:spacing w:before="0" w:after="0"/>
            </w:pPr>
            <w:r>
              <w:rPr>
                <w:rFonts w:ascii="Georgia" w:hAnsi="Georgia"/>
                <w:b w:val="0"/>
                <w:i w:val="0"/>
                <w:color w:val="141414"/>
                <w:sz w:val="20"/>
              </w:rPr>
              <w:t>Franchise</w:t>
            </w:r>
          </w:p>
        </w:tc>
        <w:tc>
          <w:tcPr>
            <w:tcW w:type="dxa" w:w="1883"/>
            <w:tcW w:w="1891" w:type="dxa"/>
            <w:vAlign w:val="center"/>
            <w:shd w:val="clear" w:color="auto" w:fill="F5F3EE"/>
          </w:tcPr>
          <w:p>
            <w:pPr>
              <w:spacing w:before="0" w:after="0"/>
            </w:pPr>
            <w:r>
              <w:rPr>
                <w:rFonts w:ascii="Times" w:hAnsi="Times"/>
                <w:b/>
                <w:i w:val="0"/>
                <w:color w:val="000000"/>
                <w:sz w:val="14"/>
              </w:rPr>
              <w:t>Abattement annuel</w:t>
            </w:r>
          </w:p>
        </w:tc>
        <w:tc>
          <w:tcPr>
            <w:tcW w:type="dxa" w:w="1883"/>
            <w:tcW w:w="1880" w:type="dxa"/>
            <w:vAlign w:val="center"/>
            <w:shd w:val="clear" w:color="auto" w:fill="F5F3EE"/>
          </w:tcPr>
          <w:p>
            <w:pPr>
              <w:spacing w:before="0" w:after="0"/>
            </w:pPr>
            <w:r>
              <w:rPr>
                <w:rFonts w:ascii="Georgia" w:hAnsi="Georgia"/>
                <w:b w:val="0"/>
                <w:i w:val="0"/>
                <w:color w:val="141414"/>
                <w:sz w:val="20"/>
              </w:rPr>
              <w:t>Part résiduelle</w:t>
            </w:r>
          </w:p>
        </w:tc>
      </w:tr>
      <w:tr>
        <w:trPr>
          <w:trHeight w:val="884" w:hRule="atLeast"/>
          <w:cantSplit w:val="true"/>
        </w:trPr>
        <w:tc>
          <w:tcPr>
            <w:tcW w:type="dxa" w:w="1883"/>
            <w:tcW w:w="1874" w:type="dxa"/>
            <w:vAlign w:val="center"/>
          </w:tcPr>
          <w:p>
            <w:pPr>
              <w:spacing w:before="0" w:after="0"/>
            </w:pPr>
            <w:r>
              <w:rPr>
                <w:rFonts w:ascii="Times" w:hAnsi="Times"/>
                <w:b/>
                <w:i w:val="0"/>
                <w:color w:val="000000"/>
                <w:sz w:val="14"/>
              </w:rPr>
              <w:t>Menuiseries intérieures et extérieures</w:t>
            </w:r>
          </w:p>
        </w:tc>
        <w:tc>
          <w:tcPr>
            <w:tcW w:type="dxa" w:w="1883"/>
            <w:tcW w:w="1891" w:type="dxa"/>
            <w:vAlign w:val="center"/>
          </w:tcPr>
          <w:p>
            <w:pPr>
              <w:spacing w:before="0" w:after="0"/>
            </w:pPr>
            <w:r>
              <w:rPr>
                <w:rFonts w:ascii="Times" w:hAnsi="Times"/>
                <w:b/>
                <w:i w:val="0"/>
                <w:color w:val="000000"/>
                <w:sz w:val="14"/>
              </w:rPr>
              <w:t>20 ans</w:t>
            </w:r>
          </w:p>
        </w:tc>
        <w:tc>
          <w:tcPr>
            <w:tcW w:type="dxa" w:w="1883"/>
            <w:tcW w:w="1880" w:type="dxa"/>
            <w:vAlign w:val="center"/>
          </w:tcPr>
          <w:p>
            <w:pPr>
              <w:spacing w:before="0" w:after="0"/>
            </w:pPr>
            <w:r>
              <w:rPr>
                <w:rFonts w:ascii="Times" w:hAnsi="Times"/>
                <w:b/>
                <w:i w:val="0"/>
                <w:color w:val="000000"/>
                <w:sz w:val="14"/>
              </w:rPr>
              <w:t>5 ans</w:t>
            </w:r>
          </w:p>
        </w:tc>
        <w:tc>
          <w:tcPr>
            <w:tcW w:type="dxa" w:w="1883"/>
            <w:tcW w:w="1891" w:type="dxa"/>
            <w:vAlign w:val="center"/>
          </w:tcPr>
          <w:p>
            <w:pPr>
              <w:spacing w:before="0" w:after="0"/>
            </w:pPr>
            <w:r>
              <w:rPr>
                <w:rFonts w:ascii="Times" w:hAnsi="Times"/>
                <w:b/>
                <w:i w:val="0"/>
                <w:color w:val="000000"/>
                <w:sz w:val="14"/>
              </w:rPr>
              <w:t>5 %</w:t>
            </w:r>
          </w:p>
        </w:tc>
        <w:tc>
          <w:tcPr>
            <w:tcW w:type="dxa" w:w="1883"/>
            <w:tcW w:w="1880" w:type="dxa"/>
            <w:vAlign w:val="center"/>
          </w:tcPr>
          <w:p>
            <w:pPr>
              <w:spacing w:before="0" w:after="0"/>
            </w:pPr>
            <w:r>
              <w:rPr>
                <w:rFonts w:ascii="Times" w:hAnsi="Times"/>
                <w:b/>
                <w:i w:val="0"/>
                <w:color w:val="000000"/>
                <w:sz w:val="14"/>
              </w:rPr>
              <w:t>25 %</w:t>
            </w:r>
          </w:p>
        </w:tc>
      </w:tr>
      <w:tr>
        <w:trPr>
          <w:trHeight w:val="884" w:hRule="atLeast"/>
          <w:cantSplit w:val="true"/>
        </w:trPr>
        <w:tc>
          <w:tcPr>
            <w:tcW w:type="dxa" w:w="1883"/>
            <w:tcW w:w="1874" w:type="dxa"/>
            <w:vAlign w:val="center"/>
          </w:tcPr>
          <w:p>
            <w:pPr>
              <w:spacing w:before="0" w:after="0"/>
            </w:pPr>
            <w:r>
              <w:rPr>
                <w:rFonts w:ascii="Times" w:hAnsi="Times"/>
                <w:b/>
                <w:i w:val="0"/>
                <w:color w:val="000000"/>
                <w:sz w:val="14"/>
              </w:rPr>
              <w:t>Meubles sous éviers</w:t>
            </w:r>
          </w:p>
        </w:tc>
        <w:tc>
          <w:tcPr>
            <w:tcW w:type="dxa" w:w="1883"/>
            <w:tcW w:w="1891" w:type="dxa"/>
            <w:vAlign w:val="center"/>
          </w:tcPr>
          <w:p>
            <w:pPr>
              <w:spacing w:before="0" w:after="0"/>
            </w:pPr>
            <w:r>
              <w:rPr>
                <w:rFonts w:ascii="Times" w:hAnsi="Times"/>
                <w:b/>
                <w:i w:val="0"/>
                <w:color w:val="000000"/>
                <w:sz w:val="14"/>
              </w:rPr>
              <w:t>10 ans</w:t>
            </w:r>
          </w:p>
        </w:tc>
        <w:tc>
          <w:tcPr>
            <w:tcW w:type="dxa" w:w="1883"/>
            <w:tcW w:w="1880" w:type="dxa"/>
            <w:vAlign w:val="center"/>
          </w:tcPr>
          <w:p>
            <w:pPr>
              <w:spacing w:before="0" w:after="0"/>
            </w:pPr>
            <w:r>
              <w:rPr>
                <w:rFonts w:ascii="Times" w:hAnsi="Times"/>
                <w:b/>
                <w:i w:val="0"/>
                <w:color w:val="000000"/>
                <w:sz w:val="14"/>
              </w:rPr>
              <w:t>2 ans</w:t>
            </w:r>
          </w:p>
        </w:tc>
        <w:tc>
          <w:tcPr>
            <w:tcW w:type="dxa" w:w="1883"/>
            <w:tcW w:w="1891" w:type="dxa"/>
            <w:vAlign w:val="center"/>
          </w:tcPr>
          <w:p>
            <w:pPr>
              <w:spacing w:before="0" w:after="0"/>
            </w:pPr>
            <w:r>
              <w:rPr>
                <w:rFonts w:ascii="Times" w:hAnsi="Times"/>
                <w:b/>
                <w:i w:val="0"/>
                <w:color w:val="000000"/>
                <w:sz w:val="14"/>
              </w:rPr>
              <w:t>10 %</w:t>
            </w:r>
          </w:p>
        </w:tc>
        <w:tc>
          <w:tcPr>
            <w:tcW w:type="dxa" w:w="1883"/>
            <w:tcW w:w="1880" w:type="dxa"/>
            <w:vAlign w:val="center"/>
          </w:tcPr>
          <w:p>
            <w:pPr>
              <w:spacing w:before="0" w:after="0"/>
            </w:pPr>
            <w:r>
              <w:rPr>
                <w:rFonts w:ascii="Times" w:hAnsi="Times"/>
                <w:b/>
                <w:i w:val="0"/>
                <w:color w:val="000000"/>
                <w:sz w:val="14"/>
              </w:rPr>
              <w:t>20 %</w:t>
            </w:r>
          </w:p>
        </w:tc>
      </w:tr>
      <w:tr>
        <w:trPr>
          <w:trHeight w:val="884" w:hRule="atLeast"/>
          <w:cantSplit w:val="true"/>
        </w:trPr>
        <w:tc>
          <w:tcPr>
            <w:tcW w:type="dxa" w:w="1883"/>
            <w:tcW w:w="1874" w:type="dxa"/>
            <w:vAlign w:val="center"/>
          </w:tcPr>
          <w:p>
            <w:pPr>
              <w:spacing w:before="0" w:after="0"/>
            </w:pPr>
            <w:r>
              <w:rPr>
                <w:rFonts w:ascii="Times" w:hAnsi="Times"/>
                <w:b/>
                <w:i w:val="0"/>
                <w:color w:val="000000"/>
                <w:sz w:val="14"/>
              </w:rPr>
              <w:t>Appareils ménagers</w:t>
            </w:r>
          </w:p>
        </w:tc>
        <w:tc>
          <w:tcPr>
            <w:tcW w:type="dxa" w:w="1883"/>
            <w:tcW w:w="1891" w:type="dxa"/>
            <w:vAlign w:val="center"/>
          </w:tcPr>
          <w:p>
            <w:pPr>
              <w:spacing w:before="0" w:after="0"/>
            </w:pPr>
            <w:r>
              <w:rPr>
                <w:rFonts w:ascii="Times" w:hAnsi="Times"/>
                <w:b/>
                <w:i w:val="0"/>
                <w:color w:val="000000"/>
                <w:sz w:val="14"/>
              </w:rPr>
              <w:t>8 ans</w:t>
            </w:r>
          </w:p>
        </w:tc>
        <w:tc>
          <w:tcPr>
            <w:tcW w:type="dxa" w:w="1883"/>
            <w:tcW w:w="1880" w:type="dxa"/>
            <w:vAlign w:val="center"/>
          </w:tcPr>
          <w:p>
            <w:pPr>
              <w:spacing w:before="0" w:after="0"/>
            </w:pPr>
            <w:r>
              <w:rPr>
                <w:rFonts w:ascii="Times" w:hAnsi="Times"/>
                <w:b/>
                <w:i w:val="0"/>
                <w:color w:val="000000"/>
                <w:sz w:val="14"/>
              </w:rPr>
              <w:t>2 ans</w:t>
            </w:r>
          </w:p>
        </w:tc>
        <w:tc>
          <w:tcPr>
            <w:tcW w:type="dxa" w:w="1883"/>
            <w:tcW w:w="1891" w:type="dxa"/>
            <w:vAlign w:val="center"/>
          </w:tcPr>
          <w:p>
            <w:pPr>
              <w:spacing w:before="0" w:after="0"/>
            </w:pPr>
            <w:r>
              <w:rPr>
                <w:rFonts w:ascii="Times" w:hAnsi="Times"/>
                <w:b/>
                <w:i w:val="0"/>
                <w:color w:val="000000"/>
                <w:sz w:val="14"/>
              </w:rPr>
              <w:t>15 %</w:t>
            </w:r>
          </w:p>
        </w:tc>
        <w:tc>
          <w:tcPr>
            <w:tcW w:type="dxa" w:w="1883"/>
            <w:tcW w:w="1880" w:type="dxa"/>
            <w:vAlign w:val="center"/>
          </w:tcPr>
          <w:p>
            <w:pPr>
              <w:spacing w:before="0" w:after="0"/>
            </w:pPr>
            <w:r>
              <w:rPr>
                <w:rFonts w:ascii="Times" w:hAnsi="Times"/>
                <w:b/>
                <w:i w:val="0"/>
                <w:color w:val="000000"/>
                <w:sz w:val="14"/>
              </w:rPr>
              <w:t>10 %</w:t>
            </w:r>
          </w:p>
        </w:tc>
      </w:tr>
      <w:tr>
        <w:trPr>
          <w:trHeight w:val="884" w:hRule="atLeast"/>
          <w:cantSplit w:val="true"/>
        </w:trPr>
        <w:tc>
          <w:tcPr>
            <w:tcW w:type="dxa" w:w="1883"/>
            <w:tcW w:w="1874" w:type="dxa"/>
            <w:vAlign w:val="center"/>
          </w:tcPr>
          <w:p>
            <w:pPr>
              <w:spacing w:before="0" w:after="0"/>
            </w:pPr>
            <w:r>
              <w:rPr>
                <w:rFonts w:ascii="Times" w:hAnsi="Times"/>
                <w:b/>
                <w:i w:val="0"/>
                <w:color w:val="000000"/>
                <w:sz w:val="14"/>
              </w:rPr>
              <w:t>Parquet, carrelage, faïence</w:t>
            </w:r>
          </w:p>
        </w:tc>
        <w:tc>
          <w:tcPr>
            <w:tcW w:type="dxa" w:w="1883"/>
            <w:tcW w:w="1891" w:type="dxa"/>
            <w:vAlign w:val="center"/>
          </w:tcPr>
          <w:p>
            <w:pPr>
              <w:spacing w:before="0" w:after="0"/>
            </w:pPr>
            <w:r>
              <w:rPr>
                <w:rFonts w:ascii="Times" w:hAnsi="Times"/>
                <w:b/>
                <w:i w:val="0"/>
                <w:color w:val="000000"/>
                <w:sz w:val="14"/>
              </w:rPr>
              <w:t>20 ans</w:t>
            </w:r>
          </w:p>
        </w:tc>
        <w:tc>
          <w:tcPr>
            <w:tcW w:type="dxa" w:w="1883"/>
            <w:tcW w:w="1880" w:type="dxa"/>
            <w:vAlign w:val="center"/>
          </w:tcPr>
          <w:p>
            <w:pPr>
              <w:spacing w:before="0" w:after="0"/>
            </w:pPr>
            <w:r>
              <w:rPr>
                <w:rFonts w:ascii="Times" w:hAnsi="Times"/>
                <w:b/>
                <w:i w:val="0"/>
                <w:color w:val="000000"/>
                <w:sz w:val="14"/>
              </w:rPr>
              <w:t>5 ans</w:t>
            </w:r>
          </w:p>
        </w:tc>
        <w:tc>
          <w:tcPr>
            <w:tcW w:type="dxa" w:w="1883"/>
            <w:tcW w:w="1891" w:type="dxa"/>
            <w:vAlign w:val="center"/>
          </w:tcPr>
          <w:p>
            <w:pPr>
              <w:spacing w:before="0" w:after="0"/>
            </w:pPr>
            <w:r>
              <w:rPr>
                <w:rFonts w:ascii="Times" w:hAnsi="Times"/>
                <w:b/>
                <w:i w:val="0"/>
                <w:color w:val="000000"/>
                <w:sz w:val="14"/>
              </w:rPr>
              <w:t>5 %</w:t>
            </w:r>
          </w:p>
        </w:tc>
        <w:tc>
          <w:tcPr>
            <w:tcW w:type="dxa" w:w="1883"/>
            <w:tcW w:w="1880" w:type="dxa"/>
            <w:vAlign w:val="center"/>
          </w:tcPr>
          <w:p>
            <w:pPr>
              <w:spacing w:before="0" w:after="0"/>
            </w:pPr>
            <w:r>
              <w:rPr>
                <w:rFonts w:ascii="Times" w:hAnsi="Times"/>
                <w:b/>
                <w:i w:val="0"/>
                <w:color w:val="000000"/>
                <w:sz w:val="14"/>
              </w:rPr>
              <w:t>25 %</w:t>
            </w:r>
          </w:p>
        </w:tc>
      </w:tr>
      <w:tr>
        <w:trPr>
          <w:trHeight w:val="884" w:hRule="atLeast"/>
          <w:cantSplit w:val="true"/>
        </w:trPr>
        <w:tc>
          <w:tcPr>
            <w:tcW w:type="dxa" w:w="1883"/>
            <w:tcW w:w="1874" w:type="dxa"/>
            <w:vAlign w:val="center"/>
          </w:tcPr>
          <w:p>
            <w:pPr>
              <w:spacing w:before="0" w:after="0"/>
            </w:pPr>
            <w:r>
              <w:rPr>
                <w:rFonts w:ascii="Times" w:hAnsi="Times"/>
                <w:b/>
                <w:i w:val="0"/>
                <w:color w:val="000000"/>
                <w:sz w:val="14"/>
              </w:rPr>
              <w:t>Dalles ou revêtements plastiques, pièces humides</w:t>
            </w:r>
          </w:p>
        </w:tc>
        <w:tc>
          <w:tcPr>
            <w:tcW w:type="dxa" w:w="1883"/>
            <w:tcW w:w="1891" w:type="dxa"/>
            <w:vAlign w:val="center"/>
          </w:tcPr>
          <w:p>
            <w:pPr>
              <w:spacing w:before="0" w:after="0"/>
            </w:pPr>
            <w:r>
              <w:rPr>
                <w:rFonts w:ascii="Times" w:hAnsi="Times"/>
                <w:b/>
                <w:i w:val="0"/>
                <w:color w:val="000000"/>
                <w:sz w:val="14"/>
              </w:rPr>
              <w:t>10 ans</w:t>
            </w:r>
          </w:p>
        </w:tc>
        <w:tc>
          <w:tcPr>
            <w:tcW w:type="dxa" w:w="1883"/>
            <w:tcW w:w="1880" w:type="dxa"/>
            <w:vAlign w:val="center"/>
          </w:tcPr>
          <w:p>
            <w:pPr>
              <w:spacing w:before="0" w:after="0"/>
            </w:pPr>
            <w:r>
              <w:rPr>
                <w:rFonts w:ascii="Times" w:hAnsi="Times"/>
                <w:b/>
                <w:i w:val="0"/>
                <w:color w:val="000000"/>
                <w:sz w:val="14"/>
              </w:rPr>
              <w:t>2 ans</w:t>
            </w:r>
          </w:p>
        </w:tc>
        <w:tc>
          <w:tcPr>
            <w:tcW w:type="dxa" w:w="1883"/>
            <w:tcW w:w="1891" w:type="dxa"/>
            <w:vAlign w:val="center"/>
          </w:tcPr>
          <w:p>
            <w:pPr>
              <w:spacing w:before="0" w:after="0"/>
            </w:pPr>
            <w:r>
              <w:rPr>
                <w:rFonts w:ascii="Times" w:hAnsi="Times"/>
                <w:b/>
                <w:i w:val="0"/>
                <w:color w:val="000000"/>
                <w:sz w:val="14"/>
              </w:rPr>
              <w:t>10 %</w:t>
            </w:r>
          </w:p>
        </w:tc>
        <w:tc>
          <w:tcPr>
            <w:tcW w:type="dxa" w:w="1883"/>
            <w:tcW w:w="1880" w:type="dxa"/>
            <w:vAlign w:val="center"/>
          </w:tcPr>
          <w:p>
            <w:pPr>
              <w:spacing w:before="0" w:after="0"/>
            </w:pPr>
            <w:r>
              <w:rPr>
                <w:rFonts w:ascii="Times" w:hAnsi="Times"/>
                <w:b/>
                <w:i w:val="0"/>
                <w:color w:val="000000"/>
                <w:sz w:val="14"/>
              </w:rPr>
              <w:t>20 %</w:t>
            </w:r>
          </w:p>
        </w:tc>
      </w:tr>
      <w:tr>
        <w:trPr>
          <w:trHeight w:val="884" w:hRule="atLeast"/>
          <w:cantSplit w:val="true"/>
        </w:trPr>
        <w:tc>
          <w:tcPr>
            <w:tcW w:type="dxa" w:w="1883"/>
            <w:tcW w:w="1874" w:type="dxa"/>
            <w:vAlign w:val="center"/>
          </w:tcPr>
          <w:p>
            <w:pPr>
              <w:spacing w:before="0" w:after="0"/>
            </w:pPr>
            <w:r>
              <w:rPr>
                <w:rFonts w:ascii="Times" w:hAnsi="Times"/>
                <w:b/>
                <w:i w:val="0"/>
                <w:color w:val="000000"/>
                <w:sz w:val="14"/>
              </w:rPr>
              <w:t>Dalles ou revêtements plastiques, autres pièces</w:t>
            </w:r>
          </w:p>
        </w:tc>
        <w:tc>
          <w:tcPr>
            <w:tcW w:type="dxa" w:w="1883"/>
            <w:tcW w:w="1891" w:type="dxa"/>
            <w:vAlign w:val="center"/>
          </w:tcPr>
          <w:p>
            <w:pPr>
              <w:spacing w:before="0" w:after="0"/>
            </w:pPr>
            <w:r>
              <w:rPr>
                <w:rFonts w:ascii="Times" w:hAnsi="Times"/>
                <w:b/>
                <w:i w:val="0"/>
                <w:color w:val="000000"/>
                <w:sz w:val="14"/>
              </w:rPr>
              <w:t>15 ans</w:t>
            </w:r>
          </w:p>
        </w:tc>
        <w:tc>
          <w:tcPr>
            <w:tcW w:type="dxa" w:w="1883"/>
            <w:tcW w:w="1880" w:type="dxa"/>
            <w:vAlign w:val="center"/>
          </w:tcPr>
          <w:p>
            <w:pPr>
              <w:spacing w:before="0" w:after="0"/>
            </w:pPr>
            <w:r>
              <w:rPr>
                <w:rFonts w:ascii="Times" w:hAnsi="Times"/>
                <w:b/>
                <w:i w:val="0"/>
                <w:color w:val="000000"/>
                <w:sz w:val="14"/>
              </w:rPr>
              <w:t>5 ans</w:t>
            </w:r>
          </w:p>
        </w:tc>
        <w:tc>
          <w:tcPr>
            <w:tcW w:type="dxa" w:w="1883"/>
            <w:tcW w:w="1891" w:type="dxa"/>
            <w:vAlign w:val="center"/>
          </w:tcPr>
          <w:p>
            <w:pPr>
              <w:spacing w:before="0" w:after="0"/>
            </w:pPr>
            <w:r>
              <w:rPr>
                <w:rFonts w:ascii="Times" w:hAnsi="Times"/>
                <w:b/>
                <w:i w:val="0"/>
                <w:color w:val="000000"/>
                <w:sz w:val="14"/>
              </w:rPr>
              <w:t>8 %</w:t>
            </w:r>
          </w:p>
        </w:tc>
        <w:tc>
          <w:tcPr>
            <w:tcW w:type="dxa" w:w="1883"/>
            <w:tcW w:w="1880" w:type="dxa"/>
            <w:vAlign w:val="center"/>
          </w:tcPr>
          <w:p>
            <w:pPr>
              <w:spacing w:before="0" w:after="0"/>
            </w:pPr>
            <w:r>
              <w:rPr>
                <w:rFonts w:ascii="Times" w:hAnsi="Times"/>
                <w:b/>
                <w:i w:val="0"/>
                <w:color w:val="000000"/>
                <w:sz w:val="14"/>
              </w:rPr>
              <w:t>20 %</w:t>
            </w:r>
          </w:p>
        </w:tc>
      </w:tr>
      <w:tr>
        <w:trPr>
          <w:trHeight w:val="884" w:hRule="atLeast"/>
          <w:cantSplit w:val="true"/>
        </w:trPr>
        <w:tc>
          <w:tcPr>
            <w:tcW w:type="dxa" w:w="1883"/>
            <w:tcW w:w="1874" w:type="dxa"/>
            <w:vAlign w:val="center"/>
          </w:tcPr>
          <w:p>
            <w:pPr>
              <w:spacing w:before="0" w:after="0"/>
            </w:pPr>
            <w:r>
              <w:rPr>
                <w:rFonts w:ascii="Times" w:hAnsi="Times"/>
                <w:b/>
                <w:i w:val="0"/>
                <w:color w:val="000000"/>
                <w:sz w:val="14"/>
              </w:rPr>
              <w:t>Moquette et aiguilleté</w:t>
            </w:r>
          </w:p>
        </w:tc>
        <w:tc>
          <w:tcPr>
            <w:tcW w:type="dxa" w:w="1883"/>
            <w:tcW w:w="1891" w:type="dxa"/>
            <w:vAlign w:val="center"/>
          </w:tcPr>
          <w:p>
            <w:pPr>
              <w:spacing w:before="0" w:after="0"/>
            </w:pPr>
            <w:r>
              <w:rPr>
                <w:rFonts w:ascii="Times" w:hAnsi="Times"/>
                <w:b/>
                <w:i w:val="0"/>
                <w:color w:val="000000"/>
                <w:sz w:val="14"/>
              </w:rPr>
              <w:t>7 ans</w:t>
            </w:r>
          </w:p>
        </w:tc>
        <w:tc>
          <w:tcPr>
            <w:tcW w:type="dxa" w:w="1883"/>
            <w:tcW w:w="1880" w:type="dxa"/>
            <w:vAlign w:val="center"/>
          </w:tcPr>
          <w:p>
            <w:pPr>
              <w:spacing w:before="0" w:after="0"/>
            </w:pPr>
            <w:r>
              <w:rPr>
                <w:rFonts w:ascii="Times" w:hAnsi="Times"/>
                <w:b/>
                <w:i w:val="0"/>
                <w:color w:val="000000"/>
                <w:sz w:val="14"/>
              </w:rPr>
              <w:t>1 an</w:t>
            </w:r>
          </w:p>
        </w:tc>
        <w:tc>
          <w:tcPr>
            <w:tcW w:type="dxa" w:w="1883"/>
            <w:tcW w:w="1891" w:type="dxa"/>
            <w:vAlign w:val="center"/>
          </w:tcPr>
          <w:p>
            <w:pPr>
              <w:spacing w:before="0" w:after="0"/>
            </w:pPr>
            <w:r>
              <w:rPr>
                <w:rFonts w:ascii="Times" w:hAnsi="Times"/>
                <w:b/>
                <w:i w:val="0"/>
                <w:color w:val="000000"/>
                <w:sz w:val="14"/>
              </w:rPr>
              <w:t>15 %</w:t>
            </w:r>
          </w:p>
        </w:tc>
        <w:tc>
          <w:tcPr>
            <w:tcW w:type="dxa" w:w="1883"/>
            <w:tcW w:w="1880" w:type="dxa"/>
            <w:vAlign w:val="center"/>
          </w:tcPr>
          <w:p>
            <w:pPr>
              <w:spacing w:before="0" w:after="0"/>
            </w:pPr>
            <w:r>
              <w:rPr>
                <w:rFonts w:ascii="Times" w:hAnsi="Times"/>
                <w:b/>
                <w:i w:val="0"/>
                <w:color w:val="000000"/>
                <w:sz w:val="14"/>
              </w:rPr>
              <w:t>10 %</w:t>
            </w:r>
          </w:p>
        </w:tc>
      </w:tr>
      <w:tr>
        <w:trPr>
          <w:trHeight w:val="884" w:hRule="atLeast"/>
          <w:cantSplit w:val="true"/>
        </w:trPr>
        <w:tc>
          <w:tcPr>
            <w:tcW w:type="dxa" w:w="1883"/>
            <w:tcW w:w="1874" w:type="dxa"/>
            <w:vAlign w:val="center"/>
          </w:tcPr>
          <w:p>
            <w:pPr>
              <w:spacing w:before="0" w:after="0"/>
            </w:pPr>
            <w:r>
              <w:rPr>
                <w:rFonts w:ascii="Times" w:hAnsi="Times"/>
                <w:b/>
                <w:i w:val="0"/>
                <w:color w:val="000000"/>
                <w:sz w:val="14"/>
              </w:rPr>
              <w:t>Peinture, papiers peints</w:t>
            </w:r>
          </w:p>
        </w:tc>
        <w:tc>
          <w:tcPr>
            <w:tcW w:type="dxa" w:w="1883"/>
            <w:tcW w:w="1891" w:type="dxa"/>
            <w:vAlign w:val="center"/>
          </w:tcPr>
          <w:p>
            <w:pPr>
              <w:spacing w:before="0" w:after="0"/>
            </w:pPr>
            <w:r>
              <w:rPr>
                <w:rFonts w:ascii="Times" w:hAnsi="Times"/>
                <w:b/>
                <w:i w:val="0"/>
                <w:color w:val="000000"/>
                <w:sz w:val="14"/>
              </w:rPr>
              <w:t>7 ans</w:t>
            </w:r>
          </w:p>
        </w:tc>
        <w:tc>
          <w:tcPr>
            <w:tcW w:type="dxa" w:w="1883"/>
            <w:tcW w:w="1880" w:type="dxa"/>
            <w:vAlign w:val="center"/>
          </w:tcPr>
          <w:p>
            <w:pPr>
              <w:spacing w:before="0" w:after="0"/>
            </w:pPr>
            <w:r>
              <w:rPr>
                <w:rFonts w:ascii="Times" w:hAnsi="Times"/>
                <w:b/>
                <w:i w:val="0"/>
                <w:color w:val="000000"/>
                <w:sz w:val="14"/>
              </w:rPr>
              <w:t>1 an</w:t>
            </w:r>
          </w:p>
        </w:tc>
        <w:tc>
          <w:tcPr>
            <w:tcW w:type="dxa" w:w="1883"/>
            <w:tcW w:w="1891" w:type="dxa"/>
            <w:vAlign w:val="center"/>
          </w:tcPr>
          <w:p>
            <w:pPr>
              <w:spacing w:before="0" w:after="0"/>
            </w:pPr>
            <w:r>
              <w:rPr>
                <w:rFonts w:ascii="Times" w:hAnsi="Times"/>
                <w:b/>
                <w:i w:val="0"/>
                <w:color w:val="000000"/>
                <w:sz w:val="14"/>
              </w:rPr>
              <w:t>15 %</w:t>
            </w:r>
          </w:p>
        </w:tc>
        <w:tc>
          <w:tcPr>
            <w:tcW w:type="dxa" w:w="1883"/>
            <w:tcW w:w="1880" w:type="dxa"/>
            <w:vAlign w:val="center"/>
          </w:tcPr>
          <w:p>
            <w:pPr>
              <w:spacing w:before="0" w:after="0"/>
            </w:pPr>
            <w:r>
              <w:rPr>
                <w:rFonts w:ascii="Times" w:hAnsi="Times"/>
                <w:b/>
                <w:i w:val="0"/>
                <w:color w:val="000000"/>
                <w:sz w:val="14"/>
              </w:rPr>
              <w:t>10 %</w:t>
            </w:r>
          </w:p>
        </w:tc>
      </w:tr>
    </w:tbl>
    <w:p>
      <w:pPr>
        <w:spacing w:after="120" w:before="0"/>
      </w:pPr>
    </w:p>
    <w:p>
      <w:pPr>
        <w:spacing w:before="0" w:after="190"/>
        <w:keepNext w:val="true"/>
        <w:keepLines w:val="true"/>
      </w:pPr>
      <w:r>
        <w:rPr>
          <w:rFonts w:ascii="Helvetica Neue" w:hAnsi="Helvetica Neue"/>
          <w:b/>
          <w:i w:val="0"/>
          <w:color w:val="2C2C2C"/>
          <w:sz w:val="19"/>
        </w:rPr>
        <w:t>3.4 Fermetures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53" w:type="dxa"/>
          <w:bottom w:w="34" w:type="dxa"/>
          <w:right w:w="153" w:type="dxa"/>
        </w:tblCellMar>
      </w:tblPr>
      <w:tblGrid>
        <w:gridCol w:w="1874"/>
        <w:gridCol w:w="1891"/>
        <w:gridCol w:w="1880"/>
        <w:gridCol w:w="1891"/>
        <w:gridCol w:w="1880"/>
      </w:tblGrid>
      <w:tr>
        <w:trPr>
          <w:trHeight w:val="391" w:hRule="atLeast"/>
          <w:cantSplit w:val="true"/>
          <w:tblHeader w:val="true"/>
        </w:trPr>
        <w:tc>
          <w:tcPr>
            <w:tcW w:type="dxa" w:w="1883"/>
            <w:tcW w:w="1874" w:type="dxa"/>
            <w:vAlign w:val="center"/>
            <w:shd w:val="clear" w:color="auto" w:fill="F5F3EE"/>
          </w:tcPr>
          <w:p>
            <w:pPr>
              <w:spacing w:before="0" w:after="0"/>
            </w:pPr>
            <w:r>
              <w:rPr>
                <w:rFonts w:ascii="Times" w:hAnsi="Times"/>
                <w:b/>
                <w:i w:val="0"/>
                <w:color w:val="000000"/>
                <w:sz w:val="14"/>
              </w:rPr>
              <w:t>Élément</w:t>
            </w:r>
          </w:p>
        </w:tc>
        <w:tc>
          <w:tcPr>
            <w:tcW w:type="dxa" w:w="1883"/>
            <w:tcW w:w="1891" w:type="dxa"/>
            <w:vAlign w:val="center"/>
            <w:shd w:val="clear" w:color="auto" w:fill="F5F3EE"/>
          </w:tcPr>
          <w:p>
            <w:pPr>
              <w:spacing w:before="0" w:after="0"/>
            </w:pPr>
            <w:r>
              <w:rPr>
                <w:rFonts w:ascii="Times" w:hAnsi="Times"/>
                <w:b/>
                <w:i w:val="0"/>
                <w:color w:val="000000"/>
                <w:sz w:val="14"/>
              </w:rPr>
              <w:t>Durée de vie théorique</w:t>
            </w:r>
          </w:p>
        </w:tc>
        <w:tc>
          <w:tcPr>
            <w:tcW w:type="dxa" w:w="1883"/>
            <w:tcW w:w="1880" w:type="dxa"/>
            <w:vAlign w:val="center"/>
            <w:shd w:val="clear" w:color="auto" w:fill="F5F3EE"/>
          </w:tcPr>
          <w:p>
            <w:pPr>
              <w:spacing w:before="0" w:after="0"/>
            </w:pPr>
            <w:r>
              <w:rPr>
                <w:rFonts w:ascii="Georgia" w:hAnsi="Georgia"/>
                <w:b w:val="0"/>
                <w:i w:val="0"/>
                <w:color w:val="141414"/>
                <w:sz w:val="20"/>
              </w:rPr>
              <w:t>Franchise</w:t>
            </w:r>
          </w:p>
        </w:tc>
        <w:tc>
          <w:tcPr>
            <w:tcW w:type="dxa" w:w="1883"/>
            <w:tcW w:w="1891" w:type="dxa"/>
            <w:vAlign w:val="center"/>
            <w:shd w:val="clear" w:color="auto" w:fill="F5F3EE"/>
          </w:tcPr>
          <w:p>
            <w:pPr>
              <w:spacing w:before="0" w:after="0"/>
            </w:pPr>
            <w:r>
              <w:rPr>
                <w:rFonts w:ascii="Times" w:hAnsi="Times"/>
                <w:b/>
                <w:i w:val="0"/>
                <w:color w:val="000000"/>
                <w:sz w:val="14"/>
              </w:rPr>
              <w:t>Abattement annuel</w:t>
            </w:r>
          </w:p>
        </w:tc>
        <w:tc>
          <w:tcPr>
            <w:tcW w:type="dxa" w:w="1883"/>
            <w:tcW w:w="1880" w:type="dxa"/>
            <w:vAlign w:val="center"/>
            <w:shd w:val="clear" w:color="auto" w:fill="F5F3EE"/>
          </w:tcPr>
          <w:p>
            <w:pPr>
              <w:spacing w:before="0" w:after="0"/>
            </w:pPr>
            <w:r>
              <w:rPr>
                <w:rFonts w:ascii="Georgia" w:hAnsi="Georgia"/>
                <w:b w:val="0"/>
                <w:i w:val="0"/>
                <w:color w:val="141414"/>
                <w:sz w:val="20"/>
              </w:rPr>
              <w:t>Part résiduelle</w:t>
            </w:r>
          </w:p>
        </w:tc>
      </w:tr>
      <w:tr>
        <w:trPr>
          <w:trHeight w:val="391" w:hRule="atLeast"/>
          <w:cantSplit w:val="true"/>
        </w:trPr>
        <w:tc>
          <w:tcPr>
            <w:tcW w:type="dxa" w:w="1883"/>
            <w:tcW w:w="1874" w:type="dxa"/>
            <w:vAlign w:val="center"/>
          </w:tcPr>
          <w:p>
            <w:pPr>
              <w:spacing w:before="0" w:after="0"/>
            </w:pPr>
            <w:r>
              <w:rPr>
                <w:rFonts w:ascii="Times" w:hAnsi="Times"/>
                <w:b/>
                <w:i w:val="0"/>
                <w:color w:val="000000"/>
                <w:sz w:val="14"/>
              </w:rPr>
              <w:t>Stores</w:t>
            </w:r>
          </w:p>
        </w:tc>
        <w:tc>
          <w:tcPr>
            <w:tcW w:type="dxa" w:w="1883"/>
            <w:tcW w:w="1891" w:type="dxa"/>
            <w:vAlign w:val="center"/>
          </w:tcPr>
          <w:p>
            <w:pPr>
              <w:spacing w:before="0" w:after="0"/>
            </w:pPr>
            <w:r>
              <w:rPr>
                <w:rFonts w:ascii="Times" w:hAnsi="Times"/>
                <w:b/>
                <w:i w:val="0"/>
                <w:color w:val="000000"/>
                <w:sz w:val="14"/>
              </w:rPr>
              <w:t>5 ans</w:t>
            </w:r>
          </w:p>
        </w:tc>
        <w:tc>
          <w:tcPr>
            <w:tcW w:type="dxa" w:w="1883"/>
            <w:tcW w:w="1880" w:type="dxa"/>
            <w:vAlign w:val="center"/>
          </w:tcPr>
          <w:p>
            <w:pPr>
              <w:spacing w:before="0" w:after="0"/>
            </w:pPr>
            <w:r>
              <w:rPr>
                <w:rFonts w:ascii="Times" w:hAnsi="Times"/>
                <w:b/>
                <w:i w:val="0"/>
                <w:color w:val="000000"/>
                <w:sz w:val="14"/>
              </w:rPr>
              <w:t>1 an</w:t>
            </w:r>
          </w:p>
        </w:tc>
        <w:tc>
          <w:tcPr>
            <w:tcW w:type="dxa" w:w="1883"/>
            <w:tcW w:w="1891" w:type="dxa"/>
            <w:vAlign w:val="center"/>
          </w:tcPr>
          <w:p>
            <w:pPr>
              <w:spacing w:before="0" w:after="0"/>
            </w:pPr>
            <w:r>
              <w:rPr>
                <w:rFonts w:ascii="Times" w:hAnsi="Times"/>
                <w:b/>
                <w:i w:val="0"/>
                <w:color w:val="000000"/>
                <w:sz w:val="14"/>
              </w:rPr>
              <w:t>20 %</w:t>
            </w:r>
          </w:p>
        </w:tc>
        <w:tc>
          <w:tcPr>
            <w:tcW w:type="dxa" w:w="1883"/>
            <w:tcW w:w="1880" w:type="dxa"/>
            <w:vAlign w:val="center"/>
          </w:tcPr>
          <w:p>
            <w:pPr>
              <w:spacing w:before="0" w:after="0"/>
            </w:pPr>
            <w:r>
              <w:rPr>
                <w:rFonts w:ascii="Times" w:hAnsi="Times"/>
                <w:b/>
                <w:i w:val="0"/>
                <w:color w:val="000000"/>
                <w:sz w:val="14"/>
              </w:rPr>
              <w:t>20 %</w:t>
            </w:r>
          </w:p>
        </w:tc>
      </w:tr>
      <w:tr>
        <w:trPr>
          <w:trHeight w:val="391" w:hRule="atLeast"/>
          <w:cantSplit w:val="true"/>
        </w:trPr>
        <w:tc>
          <w:tcPr>
            <w:tcW w:type="dxa" w:w="1883"/>
            <w:tcW w:w="1874" w:type="dxa"/>
            <w:vAlign w:val="center"/>
          </w:tcPr>
          <w:p>
            <w:pPr>
              <w:spacing w:before="0" w:after="0"/>
            </w:pPr>
            <w:r>
              <w:rPr>
                <w:rFonts w:ascii="Times" w:hAnsi="Times"/>
                <w:b/>
                <w:i w:val="0"/>
                <w:color w:val="000000"/>
                <w:sz w:val="14"/>
              </w:rPr>
              <w:t>Persiennes et volets roulants</w:t>
            </w:r>
          </w:p>
        </w:tc>
        <w:tc>
          <w:tcPr>
            <w:tcW w:type="dxa" w:w="1883"/>
            <w:tcW w:w="1891" w:type="dxa"/>
            <w:vAlign w:val="center"/>
          </w:tcPr>
          <w:p>
            <w:pPr>
              <w:spacing w:before="0" w:after="0"/>
            </w:pPr>
            <w:r>
              <w:rPr>
                <w:rFonts w:ascii="Times" w:hAnsi="Times"/>
                <w:b/>
                <w:i w:val="0"/>
                <w:color w:val="000000"/>
                <w:sz w:val="14"/>
              </w:rPr>
              <w:t>10 ans</w:t>
            </w:r>
          </w:p>
        </w:tc>
        <w:tc>
          <w:tcPr>
            <w:tcW w:type="dxa" w:w="1883"/>
            <w:tcW w:w="1880" w:type="dxa"/>
            <w:vAlign w:val="center"/>
          </w:tcPr>
          <w:p>
            <w:pPr>
              <w:spacing w:before="0" w:after="0"/>
            </w:pPr>
            <w:r>
              <w:rPr>
                <w:rFonts w:ascii="Times" w:hAnsi="Times"/>
                <w:b/>
                <w:i w:val="0"/>
                <w:color w:val="000000"/>
                <w:sz w:val="14"/>
              </w:rPr>
              <w:t>2 ans</w:t>
            </w:r>
          </w:p>
        </w:tc>
        <w:tc>
          <w:tcPr>
            <w:tcW w:type="dxa" w:w="1883"/>
            <w:tcW w:w="1891" w:type="dxa"/>
            <w:vAlign w:val="center"/>
          </w:tcPr>
          <w:p>
            <w:pPr>
              <w:spacing w:before="0" w:after="0"/>
            </w:pPr>
            <w:r>
              <w:rPr>
                <w:rFonts w:ascii="Times" w:hAnsi="Times"/>
                <w:b/>
                <w:i w:val="0"/>
                <w:color w:val="000000"/>
                <w:sz w:val="14"/>
              </w:rPr>
              <w:t>10 %</w:t>
            </w:r>
          </w:p>
        </w:tc>
        <w:tc>
          <w:tcPr>
            <w:tcW w:type="dxa" w:w="1883"/>
            <w:tcW w:w="1880" w:type="dxa"/>
            <w:vAlign w:val="center"/>
          </w:tcPr>
          <w:p>
            <w:pPr>
              <w:spacing w:before="0" w:after="0"/>
            </w:pPr>
            <w:r>
              <w:rPr>
                <w:rFonts w:ascii="Times" w:hAnsi="Times"/>
                <w:b/>
                <w:i w:val="0"/>
                <w:color w:val="000000"/>
                <w:sz w:val="14"/>
              </w:rPr>
              <w:t>20 %</w:t>
            </w:r>
          </w:p>
        </w:tc>
      </w:tr>
    </w:tbl>
    <w:p>
      <w:pPr>
        <w:spacing w:after="120" w:before="0"/>
      </w:pPr>
    </w:p>
    <w:p>
      <w:pPr>
        <w:spacing w:before="200" w:after="263"/>
        <w:pBdr>
          <w:bottom w:val="single" w:sz="6" w:space="2" w:color="8A6D3B"/>
        </w:pBdr>
        <w:keepNext w:val="true"/>
        <w:keepLines w:val="true"/>
      </w:pPr>
      <w:r>
        <w:rPr>
          <w:rFonts w:ascii="Helvetica Neue" w:hAnsi="Helvetica Neue"/>
          <w:b/>
          <w:i w:val="0"/>
          <w:color w:val="141414"/>
          <w:sz w:val="22"/>
        </w:rPr>
        <w:t>4. Ce que la grille ne couvre pas</w:t>
      </w:r>
    </w:p>
    <w:p>
      <w:pPr>
        <w:spacing w:before="0" w:after="25"/>
      </w:pPr>
      <w:r>
        <w:rPr>
          <w:rFonts w:ascii="Georgia" w:hAnsi="Georgia"/>
          <w:b w:val="0"/>
          <w:i w:val="0"/>
          <w:color w:val="141414"/>
          <w:sz w:val="20"/>
        </w:rPr>
        <w:t>Aucun abattement de vétusté ne s'applique dans les cas suivants, où la remise en état reste intégralement à la charge du locataire :</w:t>
      </w:r>
    </w:p>
    <w:p>
      <w:pPr>
        <w:spacing w:before="0" w:after="25"/>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Les dégradations volontaires ou résultant d'un défaut manifeste d'entretien (percements, brûlures, taches indélébiles, éléments cassés, dégâts causés par un animal).</w:t>
      </w:r>
    </w:p>
    <w:p>
      <w:pPr>
        <w:spacing w:before="0" w:after="25"/>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Le défaut de propreté au départ : un logement rendu sale n'est pas un logement usé. Le nettoyage n'est pas de la vétusté.</w:t>
      </w:r>
    </w:p>
    <w:p>
      <w:pPr>
        <w:spacing w:before="0" w:after="88"/>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Les éléments manquants : clés non restituées, équipements déposés ou remplacés sans accord.</w:t>
      </w:r>
    </w:p>
    <w:p>
      <w:pPr>
        <w:spacing w:before="0" w:after="88"/>
      </w:pPr>
      <w:r>
        <w:rPr>
          <w:rFonts w:ascii="Georgia" w:hAnsi="Georgia"/>
          <w:b w:val="0"/>
          <w:i w:val="0"/>
          <w:color w:val="141414"/>
          <w:sz w:val="20"/>
        </w:rPr>
        <w:t>•</w:t>
      </w:r>
      <w:r>
        <w:rPr>
          <w:rFonts w:ascii="Georgia" w:hAnsi="Georgia"/>
          <w:b w:val="0"/>
          <w:i w:val="0"/>
          <w:color w:val="141414"/>
          <w:sz w:val="20"/>
        </w:rPr>
        <w:t xml:space="preserve">  </w:t>
      </w:r>
      <w:r>
        <w:rPr>
          <w:rFonts w:ascii="Georgia" w:hAnsi="Georgia"/>
          <w:b w:val="0"/>
          <w:i w:val="0"/>
          <w:color w:val="141414"/>
          <w:sz w:val="20"/>
        </w:rPr>
        <w:t>Les modifications non autorisées du logement, et leur remise en état.</w:t>
      </w:r>
    </w:p>
    <w:p>
      <w:pPr>
        <w:spacing w:before="0" w:after="31"/>
      </w:pPr>
      <w:r>
        <w:rPr>
          <w:rFonts w:ascii="Georgia" w:hAnsi="Georgia"/>
          <w:b w:val="0"/>
          <w:i w:val="0"/>
          <w:color w:val="141414"/>
          <w:sz w:val="20"/>
        </w:rPr>
        <w:t>À l'inverse, la vétusté joue pleinement pour l'usure des revêtements, le vieillissement des peintures, la fatigue des équipements et tout ce qui résulte du seul écoulement du temps.</w:t>
      </w:r>
    </w:p>
    <w:p>
      <w:pPr>
        <w:spacing w:before="200" w:after="263"/>
        <w:pBdr>
          <w:bottom w:val="single" w:sz="6" w:space="2" w:color="8A6D3B"/>
        </w:pBdr>
        <w:keepNext w:val="true"/>
        <w:keepLines w:val="true"/>
      </w:pPr>
      <w:r>
        <w:rPr>
          <w:rFonts w:ascii="Helvetica Neue" w:hAnsi="Helvetica Neue"/>
          <w:b/>
          <w:i w:val="0"/>
          <w:color w:val="141414"/>
          <w:sz w:val="22"/>
        </w:rPr>
        <w:t>5. Acceptation des parties</w:t>
      </w:r>
    </w:p>
    <w:p>
      <w:pPr>
        <w:spacing w:before="0" w:after="31"/>
      </w:pPr>
      <w:r>
        <w:rPr>
          <w:rFonts w:ascii="Georgia" w:hAnsi="Georgia"/>
          <w:b w:val="0"/>
          <w:i w:val="0"/>
          <w:color w:val="141414"/>
          <w:sz w:val="20"/>
        </w:rPr>
        <w:t>Les parties conviennent d'appliquer la présente grille pour l'appréciation des réparations locatives à la sortie du logement.</w:t>
      </w:r>
    </w:p>
    <w:p>
      <w:pPr>
        <w:spacing w:before="0" w:after="99"/>
      </w:pPr>
      <w:r>
        <w:rPr>
          <w:rFonts w:ascii="Georgia" w:hAnsi="Georgia"/>
          <w:b w:val="0"/>
          <w:i w:val="0"/>
          <w:color w:val="141414"/>
          <w:sz w:val="20"/>
        </w:rPr>
        <w:t>Logement : […]</w:t>
      </w:r>
    </w:p>
    <w:p>
      <w:pPr>
        <w:spacing w:before="0" w:after="371"/>
      </w:pPr>
      <w:r>
        <w:rPr>
          <w:rFonts w:ascii="Georgia" w:hAnsi="Georgia"/>
          <w:b w:val="0"/>
          <w:i w:val="0"/>
          <w:color w:val="141414"/>
          <w:sz w:val="19"/>
        </w:rPr>
        <w:t>Fait à […], le […], en autant d'exemplaires originaux que de parties.</w:t>
      </w: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53" w:type="dxa"/>
          <w:bottom w:w="34" w:type="dxa"/>
          <w:right w:w="153" w:type="dxa"/>
        </w:tblCellMar>
      </w:tblPr>
      <w:tblGrid>
        <w:gridCol w:w="4713"/>
        <w:gridCol w:w="4702"/>
      </w:tblGrid>
      <w:tr>
        <w:trPr>
          <w:trHeight w:val="454" w:hRule="atLeast"/>
          <w:cantSplit w:val="true"/>
          <w:tblHeader w:val="true"/>
        </w:trPr>
        <w:tc>
          <w:tcPr>
            <w:tcW w:type="dxa" w:w="4707"/>
            <w:tcW w:w="4713" w:type="dxa"/>
          </w:tcPr>
          <w:p>
            <w:pPr>
              <w:spacing w:before="0" w:after="0"/>
            </w:pPr>
            <w:r>
              <w:rPr>
                <w:rFonts w:ascii="Times" w:hAnsi="Times"/>
                <w:b/>
                <w:i w:val="0"/>
                <w:color w:val="000000"/>
                <w:sz w:val="14"/>
              </w:rPr>
              <w:t>Le bailleur</w:t>
            </w:r>
            <w:r>
              <w:rPr>
                <w:rFonts w:ascii="Times" w:hAnsi="Times"/>
                <w:b w:val="0"/>
                <w:i/>
                <w:color w:val="000000"/>
                <w:sz w:val="14"/>
              </w:rPr>
              <w:t>Signature</w:t>
            </w:r>
            <w:r>
              <w:rPr>
                <w:rFonts w:ascii="Times" w:hAnsi="Times"/>
                <w:b w:val="0"/>
                <w:i w:val="0"/>
                <w:color w:val="888888"/>
                <w:sz w:val="15"/>
              </w:rPr>
              <w:t xml:space="preserve"> </w:t>
            </w:r>
            <w:r>
              <w:rPr>
                <w:rFonts w:ascii="Times" w:hAnsi="Times"/>
                <w:b w:val="0"/>
                <w:i w:val="0"/>
                <w:color w:val="888888"/>
                <w:sz w:val="15"/>
              </w:rPr>
              <w:t>(ou de son mandataire, le cas échéant)</w:t>
            </w:r>
          </w:p>
        </w:tc>
        <w:tc>
          <w:tcPr>
            <w:tcW w:type="dxa" w:w="4707"/>
            <w:tcW w:w="4702" w:type="dxa"/>
          </w:tcPr>
          <w:p>
            <w:pPr>
              <w:spacing w:before="0" w:after="0"/>
            </w:pPr>
            <w:r>
              <w:rPr>
                <w:rFonts w:ascii="Times" w:hAnsi="Times"/>
                <w:b/>
                <w:i w:val="0"/>
                <w:color w:val="000000"/>
                <w:sz w:val="14"/>
              </w:rPr>
              <w:t>Le locataire</w:t>
            </w:r>
            <w:r>
              <w:rPr>
                <w:rFonts w:ascii="Times" w:hAnsi="Times"/>
                <w:b w:val="0"/>
                <w:i/>
                <w:color w:val="000000"/>
                <w:sz w:val="14"/>
              </w:rPr>
              <w:t>Signature</w:t>
            </w:r>
          </w:p>
        </w:tc>
      </w:tr>
    </w:tbl>
    <w:p>
      <w:pPr>
        <w:spacing w:after="120" w:before="0"/>
      </w:pPr>
    </w:p>
    <w:p>
      <w:pPr>
        <w:framePr w:w="9415" w:hAnchor="margin" w:xAlign="left" w:vAnchor="margin" w:yAlign="bottom" w:wrap="around"/>
        <w:spacing w:before="0" w:after="91"/>
      </w:pPr>
      <w:r>
        <w:rPr>
          <w:rFonts w:ascii="Georgia" w:hAnsi="Georgia"/>
          <w:b/>
          <w:i w:val="0"/>
          <w:color w:val="535353"/>
          <w:sz w:val="15"/>
        </w:rPr>
        <w:t>Références.</w:t>
      </w:r>
      <w:r>
        <w:rPr>
          <w:rFonts w:ascii="Georgia" w:hAnsi="Georgia"/>
          <w:b w:val="0"/>
          <w:i w:val="0"/>
          <w:color w:val="535353"/>
          <w:sz w:val="15"/>
        </w:rPr>
        <w:t xml:space="preserve"> Loi n° 89-462 du 6 juillet 1989, article 7 · Décret n° 2016-382 du 30 mars 2016, article 4 · Décret n° 87-712 du 26 août 1987 fixant la liste des réparations locatives.</w:t>
      </w:r>
    </w:p>
    <w:p>
      <w:pPr>
        <w:spacing w:before="0" w:after="0"/>
      </w:pPr>
      <w:r>
        <w:br/>
      </w:r>
    </w:p>
    <w:p>
      <w:pPr>
        <w:spacing w:before="0" w:after="85"/>
      </w:pPr>
      <w:r>
        <w:rPr>
          <w:rFonts w:ascii="Georgia" w:hAnsi="Georgia"/>
          <w:b/>
          <w:i w:val="0"/>
          <w:color w:val="535353"/>
          <w:sz w:val="15"/>
        </w:rPr>
        <w:t>Rappel.</w:t>
      </w:r>
      <w:r>
        <w:rPr>
          <w:rFonts w:ascii="Georgia" w:hAnsi="Georgia"/>
          <w:b w:val="0"/>
          <w:i w:val="0"/>
          <w:color w:val="535353"/>
          <w:sz w:val="15"/>
        </w:rPr>
        <w:t xml:space="preserve"> La grille de vétusté est </w:t>
      </w:r>
      <w:r>
        <w:rPr>
          <w:rFonts w:ascii="Georgia" w:hAnsi="Georgia"/>
          <w:b/>
          <w:i w:val="0"/>
          <w:color w:val="535353"/>
          <w:sz w:val="15"/>
        </w:rPr>
        <w:t>facultative</w:t>
      </w:r>
      <w:r>
        <w:rPr>
          <w:rFonts w:ascii="Georgia" w:hAnsi="Georgia"/>
          <w:b w:val="0"/>
          <w:i w:val="0"/>
          <w:color w:val="535353"/>
          <w:sz w:val="15"/>
        </w:rPr>
        <w:t>. Son absence n'invalide ni le bail ni l'état des lieux ; elle prive seulement les parties d'une référence commune au moment de la restitution du dépôt de garantie. Pour être opposable dans les conditions de l'article 4 du décret, la grille retenue doit être issue d'un accord collectif de location.</w:t>
      </w:r>
    </w:p>
    <w:sectPr w:rsidR="00FC693F" w:rsidRPr="0006063C" w:rsidSect="00034616">
      <w:footerReference w:type="default" r:id="rId9"/>
      <w:pgSz w:w="11906" w:h="16838"/>
      <w:pgMar w:top="1020" w:right="1246" w:bottom="850" w:left="1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