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1427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120"/>
      </w:pPr>
      <w:r>
        <w:rPr>
          <w:rFonts w:ascii="Georgia" w:hAnsi="Georgia" w:cs="Georgia"/>
          <w:sz w:val="21"/>
          <w:sz-cs w:val="21"/>
          <w:i/>
          <w:u w:val="single"/>
          <w:spacing w:val="0"/>
        </w:rPr>
        <w:t xml:space="preserve">Lettre recommandée avec demande d'avis de réception, ou remise contre récépissé</w:t>
      </w:r>
      <w:r>
        <w:rPr>
          <w:rFonts w:ascii="Georgia" w:hAnsi="Georgia" w:cs="Georgia"/>
          <w:sz w:val="21"/>
          <w:sz-cs w:val="21"/>
          <w:i/>
          <w:spacing w:val="0"/>
        </w:rPr>
        <w:t xml:space="preserve"/>
      </w:r>
    </w:p>
    <w:p>
      <w:pPr>
        <w:spacing w:after="825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Demande d'inscription d'une question à l'ordre du jour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En qualité de copropriétaire du lot n° […] au sein de l'immeuble situé […], je vous notifie, en application de l'article 10 du décret n° 67-223 du 17 mars 1967, ma demande d'inscription de la question suivante à l'ordre du jour de la prochaine assemblée générale.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Question ou projet de résolution : […]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Exposé des motifs : […]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3175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copropriétaire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68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503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65-557 du 10 juillet 1965 · Décret n° 67-223 du 17 mars 1967, article 10.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