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réception, ou remise en main propre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Restitution du dépôt de garantie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fais suite à l'état des lieux de sortie du […] pour le logement situé […].</w:t>
      </w:r>
    </w:p>
    <w:p>
      <w:pPr>
        <w:jc w:val="both"/>
        <w:spacing w:after="280"/>
      </w:pP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État des lieux de sortie conforme à celui d'entrée : dépôt de garantie intégralement restitué.</w:t>
      </w:r>
    </w:p>
    <w:p>
      <w:pPr>
        <w:jc w:val="both"/>
        <w:spacing w:after="280"/>
      </w:pP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Dégradations ou réparations locatives à votre charge, détaillées ci-dessous.</w:t>
      </w:r>
    </w:p>
    <w:tbl>
      <w:tblPr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W w:w="5000" w:type="pct"/>
        <w:tblLayout w:type="fixed"/>
      </w:tblPr>
      <w:tblGrid>
        <w:gridCol w:w="3023"/>
        <w:gridCol w:w="3023"/>
        <w:gridCol w:w="3023"/>
      </w:tblGrid>
      <w:tr>
        <w:tc>
          <w:tcPr>
            <w:tcW w:w="3023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Nature</w:t>
            </w:r>
          </w:p>
        </w:tc>
        <w:tc>
          <w:tcPr>
            <w:tcW w:w="3023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Montant</w:t>
            </w:r>
          </w:p>
        </w:tc>
        <w:tc>
          <w:tcPr>
            <w:tcW w:w="3023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Justificatif</w:t>
            </w:r>
          </w:p>
        </w:tc>
      </w:tr>
      <w:tr>
        <w:tc>
          <w:tcPr>
            <w:tcW w:w="3023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3023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3023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3023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3023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3023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</w:tbl>
    <w:p>
      <w:pPr>
        <w:jc w:val="both"/>
        <w:spacing w:after="280"/>
      </w:pP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Grille de vétusté annexée au bail appliquée : abattement déjà pris en compte ci-dessus.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Montant du dépôt de garantie versé : […] €</w:t>
        <w:br/>
        <w:t xml:space="preserve">Montant des retenues justifiées : […] €</w:t>
        <w:br/>
        <w:t xml:space="preserve"/>
      </w:r>
      <w:r>
        <w:rPr>
          <w:rFonts w:ascii="Georgia" w:hAnsi="Georgia" w:cs="Georgia"/>
          <w:sz w:val="21"/>
          <w:sz-cs w:val="21"/>
          <w:b/>
          <w:spacing w:val="0"/>
        </w:rPr>
        <w:t xml:space="preserve">Solde restitué : […] €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647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22.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