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/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spacing w:after="1427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  <w:spacing w:after="356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  <w:spacing w:after="713"/>
      </w:pPr>
      <w:r>
        <w:rPr>
          <w:rFonts w:ascii="Georgia" w:hAnsi="Georgia" w:cs="Georgia"/>
          <w:sz w:val="21"/>
          <w:sz-cs w:val="21"/>
          <w:spacing w:val="0"/>
        </w:rPr>
        <w:t xml:space="preserve">[…], le […]</w:t>
      </w:r>
    </w:p>
    <w:p>
      <w:pPr>
        <w:spacing w:after="825"/>
      </w:pPr>
      <w:r>
        <w:rPr>
          <w:rFonts w:ascii="Georgia" w:hAnsi="Georgia" w:cs="Georgia"/>
          <w:sz w:val="21"/>
          <w:sz-cs w:val="21"/>
          <w:b/>
          <w:spacing w:val="0"/>
        </w:rPr>
        <w:t xml:space="preserve">Objet :</w:t>
      </w:r>
      <w:r>
        <w:rPr>
          <w:rFonts w:ascii="Georgia" w:hAnsi="Georgia" w:cs="Georgia"/>
          <w:sz w:val="21"/>
          <w:sz-cs w:val="21"/>
          <w:spacing w:val="0"/>
        </w:rPr>
        <w:t xml:space="preserve"> Régularisation annuelle des charges — période du […] au […]</w:t>
      </w:r>
    </w:p>
    <w:p>
      <w:pPr>
        <w:spacing w:after="266"/>
      </w:pPr>
      <w:r>
        <w:rPr>
          <w:rFonts w:ascii="Georgia" w:hAnsi="Georgia" w:cs="Georgia"/>
          <w:sz w:val="21"/>
          <w:sz-cs w:val="21"/>
          <w:spacing w:val="0"/>
        </w:rPr>
        <w:t xml:space="preserve">Bonjour,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Conformément à l'article 23 de la loi n° 89-462 du 6 juillet 1989, voici le décompte des charges locatives du logement situé […] pour la période ci-dessus.</w:t>
      </w:r>
    </w:p>
    <w:tbl>
      <w:tblPr>
        <w:tblLook w:firstColumn="1" w:firstRow="1" w:lastColumn="0" w:lastRow="0" w:noHBand="0" w:noVBand="1" w:val="04A0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  <w:tblW w:w="5000" w:type="pct"/>
        <w:tblLayout w:type="fixed"/>
      </w:tblPr>
      <w:tblGrid>
        <w:gridCol w:w="4535"/>
        <w:gridCol w:w="4535"/>
      </w:tblGrid>
      <w:tr>
        <w:tc>
          <w:tcPr>
            <w:tcW w:w="4535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Nature de la charge</w:t>
            </w:r>
          </w:p>
        </w:tc>
        <w:tc>
          <w:tcPr>
            <w:tcW w:w="4535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Montant réel</w:t>
            </w:r>
          </w:p>
        </w:tc>
      </w:tr>
      <w:tr>
        <w:tc>
          <w:tcPr>
            <w:tcW w:w="4535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Eau</w:t>
            </w:r>
          </w:p>
        </w:tc>
        <w:tc>
          <w:tcPr>
            <w:tcW w:w="4535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[…]</w:t>
            </w:r>
          </w:p>
        </w:tc>
      </w:tr>
      <w:tr>
        <w:tc>
          <w:tcPr>
            <w:tcW w:w="4535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Chauffage / eau chaude collective</w:t>
            </w:r>
          </w:p>
        </w:tc>
        <w:tc>
          <w:tcPr>
            <w:tcW w:w="4535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[…]</w:t>
            </w:r>
          </w:p>
        </w:tc>
      </w:tr>
      <w:tr>
        <w:tc>
          <w:tcPr>
            <w:tcW w:w="4535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Ascenseur</w:t>
            </w:r>
          </w:p>
        </w:tc>
        <w:tc>
          <w:tcPr>
            <w:tcW w:w="4535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[…]</w:t>
            </w:r>
          </w:p>
        </w:tc>
      </w:tr>
      <w:tr>
        <w:tc>
          <w:tcPr>
            <w:tcW w:w="4535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Entretien des parties communes</w:t>
            </w:r>
          </w:p>
        </w:tc>
        <w:tc>
          <w:tcPr>
            <w:tcW w:w="4535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[…]</w:t>
            </w:r>
          </w:p>
        </w:tc>
      </w:tr>
      <w:tr>
        <w:tc>
          <w:tcPr>
            <w:tcW w:w="4535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Autres charges récupérables</w:t>
            </w:r>
          </w:p>
        </w:tc>
        <w:tc>
          <w:tcPr>
            <w:tcW w:w="4535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[…]</w:t>
            </w:r>
          </w:p>
        </w:tc>
      </w:tr>
      <w:tr>
        <w:tc>
          <w:tcPr>
            <w:tcW w:w="4535" w:type="dxa"/>
          </w:tcPr>
          <w:p>
            <w:pPr>
              <w:jc w:val="right"/>
            </w:pPr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Total des dépenses réelles</w:t>
            </w:r>
          </w:p>
        </w:tc>
        <w:tc>
          <w:tcPr>
            <w:tcW w:w="4535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[…]</w:t>
            </w:r>
          </w:p>
        </w:tc>
      </w:tr>
      <w:tr>
        <w:tc>
          <w:tcPr>
            <w:tcW w:w="4535" w:type="dxa"/>
          </w:tcPr>
          <w:p>
            <w:pPr>
              <w:jc w:val="right"/>
            </w:pPr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Total des provisions versées</w:t>
            </w:r>
          </w:p>
        </w:tc>
        <w:tc>
          <w:tcPr>
            <w:tcW w:w="4535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[…]</w:t>
            </w:r>
          </w:p>
        </w:tc>
      </w:tr>
      <w:tr>
        <w:tc>
          <w:tcPr>
            <w:tcW w:w="4535" w:type="dxa"/>
          </w:tcPr>
          <w:p>
            <w:pPr>
              <w:jc w:val="right"/>
            </w:pPr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Solde</w:t>
            </w:r>
          </w:p>
        </w:tc>
        <w:tc>
          <w:tcPr>
            <w:tcW w:w="4535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[…]</w:t>
            </w:r>
          </w:p>
        </w:tc>
      </w:tr>
    </w:tbl>
    <w:p>
      <w:pPr>
        <w:jc w:val="both"/>
        <w:spacing w:after="280"/>
      </w:pPr>
      <w:r>
        <w:rPr>
          <w:rFonts w:ascii="Arial" w:hAnsi="Arial" w:cs="Arial"/>
          <w:sz w:val="19"/>
          <w:sz-cs w:val="19"/>
          <w:spacing w:val="0"/>
        </w:rPr>
        <w:t xml:space="preserve">☐</w:t>
      </w:r>
      <w:r>
        <w:rPr>
          <w:rFonts w:ascii="Georgia" w:hAnsi="Georgia" w:cs="Georgia"/>
          <w:sz w:val="21"/>
          <w:sz-cs w:val="21"/>
          <w:spacing w:val="0"/>
        </w:rPr>
        <w:t xml:space="preserve"> Le solde est en votre faveur ; il vous sera reversé ou déduit de votre prochain avis d'échéance.</w:t>
        <w:br/>
        <w:t xml:space="preserve"/>
      </w:r>
      <w:r>
        <w:rPr>
          <w:rFonts w:ascii="Arial" w:hAnsi="Arial" w:cs="Arial"/>
          <w:sz w:val="19"/>
          <w:sz-cs w:val="19"/>
          <w:spacing w:val="0"/>
        </w:rPr>
        <w:t xml:space="preserve">☐</w:t>
      </w:r>
      <w:r>
        <w:rPr>
          <w:rFonts w:ascii="Georgia" w:hAnsi="Georgia" w:cs="Georgia"/>
          <w:sz w:val="21"/>
          <w:sz-cs w:val="21"/>
          <w:spacing w:val="0"/>
        </w:rPr>
        <w:t xml:space="preserve"> Le solde est en ma faveur ; je vous remercie de bien vouloir le régler.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Les pièces justificatives de ces charges sont tenues à votre disposition sur simple demande.</w:t>
      </w:r>
    </w:p>
    <w:p>
      <w:pPr>
        <w:jc w:val="both"/>
        <w:spacing w:after="550"/>
      </w:pPr>
      <w:r>
        <w:rPr>
          <w:rFonts w:ascii="Georgia" w:hAnsi="Georgia" w:cs="Georgia"/>
          <w:sz w:val="21"/>
          <w:sz-cs w:val="21"/>
          <w:spacing w:val="0"/>
        </w:rPr>
        <w:t xml:space="preserve">Je vous prie d'agréer l'expression de mes salutations distinguées.</w:t>
      </w:r>
    </w:p>
    <w:p>
      <w:pPr>
        <w:jc w:val="right"/>
        <w:spacing w:after="362"/>
      </w:pPr>
      <w:r>
        <w:rPr>
          <w:rFonts w:ascii="Georgia" w:hAnsi="Georgia" w:cs="Georgia"/>
          <w:sz w:val="21"/>
          <w:sz-cs w:val="21"/>
          <w:i/>
          <w:spacing w:val="0"/>
        </w:rPr>
        <w:t xml:space="preserve">Signature du bailleur (ou de son mandataire)</w:t>
      </w:r>
      <w:r>
        <w:rPr>
          <w:rFonts w:ascii="Georgia" w:hAnsi="Georgia" w:cs="Georgia"/>
          <w:sz w:val="21"/>
          <w:sz-cs w:val="21"/>
          <w:spacing w:val="0"/>
        </w:rPr>
        <w:t xml:space="preserve"/>
      </w:r>
    </w:p>
    <w:sectPr>
      <w:footerReference w:type="default" r:id="rIdFooter"/>
      <w:pgSz w:w="11906" w:h="16838"/>
      <w:pgMar w:top="1253" w:right="1417" w:bottom="680" w:left="1417" w:header="709" w:footer="400" w:gutter="0"/>
    </w:sectPr>
  </w:body>
</w:document>
</file>

<file path=word/footer1.xml><?xml version="1.0" encoding="utf-8"?>
<w:ftr xmlns:w="http://schemas.openxmlformats.org/wordprocessingml/2006/main">
  <w:p>
    <w:pPr>
      <w:spacing w:after="240"/>
    </w:pPr>
    <w:r>
      <w:rPr>
        <w:rFonts w:ascii="Georgia" w:hAnsi="Georgia" w:cs="Georgia"/>
        <w:sz w:val="14"/>
        <w:sz-cs w:val="14"/>
        <w:spacing w:val="0"/>
        <w:color w:val="626262"/>
      </w:rPr>
      <w:t xml:space="preserve">Références. Loi n° 89-462 du 6 juillet 1989, article 23 · Décret n° 87-713 du 26 août 1987 (liste des charges récupérables).</w:t>
    </w:r>
  </w:p>
  <w:p>
    <w:pPr>
      <w:jc w:val="center"/>
    </w:pPr>
    <w:r>
      <w:rPr>
        <w:rFonts w:ascii="Georgia" w:hAnsi="Georgia" w:cs="Georgia"/>
        <w:sz w:val="14"/>
        <w:sz-cs w:val="14"/>
        <w:color w:val="878787"/>
      </w:rPr>
      <w:t xml:space="preserve">Document généré via Assetimmo · assetimmo.fr</w:t>
    </w:r>
  </w:p>
</w:ftr>
</file>

<file path=word/styles.xml><?xml version="1.0" encoding="utf-8"?>
<w:styles xmlns:mc="http://schemas.openxmlformats.org/markup-compatibility/2006" xmlns:r="http://schemas.openxmlformats.org/officeDocument/2006/relationships" xmlns:w14="http://schemas.microsoft.com/office/word/2010/wordml" xmlns:w="http://schemas.openxmlformats.org/wordprocessingml/2006/main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Relationship Id="rId3" Type="http://schemas.openxmlformats.org/officeDocument/2006/relationships/styles" Target="styles.xml"/><Relationship Id="rIdFooter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CocoaOOXMLWriter/2685.5</generator>
</meta>
</file>