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1427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réception, ou lettre simple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825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Révision du loyer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Conformément à la clause de révision figurant au contrat de location du logement situé […], en date du […], je vous notifie la révision annuelle du loyer, en application de l'article 17-1 de la loi n° 89-462 du 6 juillet 1989.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Loyer mensuel actuel, hors charges : […] €</w:t>
        <w:br/>
        <w:t xml:space="preserve">Indice de référence des loyers (IRL) prévu au bail — trimestre et valeur : […]</w:t>
        <w:br/>
        <w:t xml:space="preserve">Nouvel indice publié — trimestre et valeur : […]</w:t>
        <w:br/>
        <w:t xml:space="preserve">Calcul : loyer actuel × (nouvel indice / ancien indice)</w:t>
        <w:br/>
        <w:t xml:space="preserve"/>
      </w:r>
      <w:r>
        <w:rPr>
          <w:rFonts w:ascii="Georgia" w:hAnsi="Georgia" w:cs="Georgia"/>
          <w:sz w:val="21"/>
          <w:sz-cs w:val="21"/>
          <w:b/>
          <w:spacing w:val="0"/>
        </w:rPr>
        <w:t xml:space="preserve">Nouveau loyer mensuel, hors charges, applicable à compter du […] : […] €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2636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68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503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17-1.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