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/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spacing w:after="713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  <w:spacing w:after="356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  <w:spacing w:after="356"/>
      </w:pPr>
      <w:r>
        <w:rPr>
          <w:rFonts w:ascii="Georgia" w:hAnsi="Georgia" w:cs="Georgia"/>
          <w:sz w:val="21"/>
          <w:sz-cs w:val="21"/>
          <w:spacing w:val="0"/>
        </w:rPr>
        <w:t xml:space="preserve">[…], le […]</w:t>
      </w:r>
    </w:p>
    <w:p>
      <w:pPr>
        <w:spacing w:after="120"/>
      </w:pPr>
      <w:r>
        <w:rPr>
          <w:rFonts w:ascii="Georgia" w:hAnsi="Georgia" w:cs="Georgia"/>
          <w:sz w:val="21"/>
          <w:sz-cs w:val="21"/>
          <w:i/>
          <w:u w:val="single"/>
          <w:spacing w:val="0"/>
        </w:rPr>
        <w:t xml:space="preserve">Lettre recommandée avec demande d'avis de réception</w:t>
      </w:r>
      <w:r>
        <w:rPr>
          <w:rFonts w:ascii="Georgia" w:hAnsi="Georgia" w:cs="Georgia"/>
          <w:sz w:val="21"/>
          <w:sz-cs w:val="21"/>
          <w:i/>
          <w:spacing w:val="0"/>
        </w:rPr>
        <w:t xml:space="preserve"/>
      </w:r>
    </w:p>
    <w:p>
      <w:pPr>
        <w:spacing w:after="550"/>
      </w:pPr>
      <w:r>
        <w:rPr>
          <w:rFonts w:ascii="Georgia" w:hAnsi="Georgia" w:cs="Georgia"/>
          <w:sz w:val="21"/>
          <w:sz-cs w:val="21"/>
          <w:b/>
          <w:spacing w:val="0"/>
        </w:rPr>
        <w:t xml:space="preserve">Objet :</w:t>
      </w:r>
      <w:r>
        <w:rPr>
          <w:rFonts w:ascii="Georgia" w:hAnsi="Georgia" w:cs="Georgia"/>
          <w:sz w:val="21"/>
          <w:sz-cs w:val="21"/>
          <w:spacing w:val="0"/>
        </w:rPr>
        <w:t xml:space="preserve"> Congé pour vendre</w:t>
      </w:r>
    </w:p>
    <w:p>
      <w:pPr>
        <w:spacing w:after="266"/>
      </w:pPr>
      <w:r>
        <w:rPr>
          <w:rFonts w:ascii="Georgia" w:hAnsi="Georgia" w:cs="Georgia"/>
          <w:sz w:val="21"/>
          <w:sz-cs w:val="21"/>
          <w:spacing w:val="0"/>
        </w:rPr>
        <w:t xml:space="preserve">Bonjour,</w:t>
      </w:r>
    </w:p>
    <w:p>
      <w:pPr>
        <w:jc w:val="both"/>
        <w:spacing w:after="280"/>
      </w:pPr>
      <w:r>
        <w:rPr>
          <w:rFonts w:ascii="Georgia" w:hAnsi="Georgia" w:cs="Georgia"/>
          <w:sz w:val="21"/>
          <w:sz-cs w:val="21"/>
          <w:spacing w:val="0"/>
        </w:rPr>
        <w:t xml:space="preserve">Je vous notifie, par la présente, mon congé au contrat de location du logement situé […], conclu le […], motivé par ma décision de vendre ce logement, en application de l'article 25-8 de la loi n° 89-462 du 6 juillet 1989.</w:t>
      </w:r>
    </w:p>
    <w:p>
      <w:pPr>
        <w:jc w:val="both"/>
        <w:spacing w:after="280"/>
      </w:pPr>
      <w:r>
        <w:rPr>
          <w:rFonts w:ascii="Georgia" w:hAnsi="Georgia" w:cs="Georgia"/>
          <w:sz w:val="21"/>
          <w:sz-cs w:val="21"/>
          <w:spacing w:val="0"/>
        </w:rPr>
        <w:t xml:space="preserve">Terme du contrat de location : […]</w:t>
      </w:r>
    </w:p>
    <w:p>
      <w:pPr>
        <w:spacing w:after="90"/>
      </w:pPr>
      <w:r>
        <w:rPr>
          <w:rFonts w:ascii="Georgia" w:hAnsi="Georgia" w:cs="Georgia"/>
          <w:sz w:val="21"/>
          <w:sz-cs w:val="21"/>
          <w:b/>
          <w:spacing w:val="0"/>
        </w:rPr>
        <w:t xml:space="preserve">Prix et conditions de la vente projetée</w:t>
      </w:r>
      <w:r>
        <w:rPr>
          <w:rFonts w:ascii="Georgia" w:hAnsi="Georgia" w:cs="Georgia"/>
          <w:sz w:val="21"/>
          <w:sz-cs w:val="21"/>
          <w:spacing w:val="0"/>
        </w:rPr>
        <w:t xml:space="preserve"/>
      </w:r>
    </w:p>
    <w:p>
      <w:pPr>
        <w:jc w:val="both"/>
        <w:spacing w:after="280"/>
      </w:pPr>
      <w:r>
        <w:rPr>
          <w:rFonts w:ascii="Georgia" w:hAnsi="Georgia" w:cs="Georgia"/>
          <w:sz w:val="21"/>
          <w:sz-cs w:val="21"/>
          <w:spacing w:val="0"/>
        </w:rPr>
        <w:t xml:space="preserve">Désignation des locaux loués et de leurs dépendances, reprise de la désignation figurant au bail : […]</w:t>
      </w:r>
    </w:p>
    <w:p>
      <w:pPr>
        <w:jc w:val="both"/>
        <w:spacing w:after="280"/>
      </w:pPr>
      <w:r>
        <w:rPr>
          <w:rFonts w:ascii="Georgia" w:hAnsi="Georgia" w:cs="Georgia"/>
          <w:sz w:val="21"/>
          <w:sz-cs w:val="21"/>
          <w:spacing w:val="0"/>
        </w:rPr>
        <w:t xml:space="preserve">Prix de vente proposé : […] €</w:t>
        <w:br/>
        <w:t xml:space="preserve">Conditions de la vente : […]</w:t>
      </w:r>
    </w:p>
    <w:p>
      <w:pPr>
        <w:jc w:val="both"/>
        <w:spacing w:after="280"/>
      </w:pPr>
      <w:r>
        <w:rPr>
          <w:rFonts w:ascii="Georgia" w:hAnsi="Georgia" w:cs="Georgia"/>
          <w:sz w:val="21"/>
          <w:sz-cs w:val="21"/>
          <w:spacing w:val="0"/>
        </w:rPr>
        <w:t xml:space="preserve">Le congé pour vente en location meublée n'ouvre pas de droit de préemption au profit du locataire : ce mécanisme, propre à la location nue, ne s'applique pas ici (article 15 II, non repris par l'article 25-8).</w:t>
      </w:r>
    </w:p>
    <w:p>
      <w:pPr>
        <w:jc w:val="both"/>
        <w:spacing w:after="550"/>
      </w:pPr>
      <w:r>
        <w:rPr>
          <w:rFonts w:ascii="Georgia" w:hAnsi="Georgia" w:cs="Georgia"/>
          <w:sz w:val="21"/>
          <w:sz-cs w:val="21"/>
          <w:spacing w:val="0"/>
        </w:rPr>
        <w:t xml:space="preserve">Je vous prie d'agréer l'expression de mes salutations distinguées.</w:t>
      </w:r>
    </w:p>
    <w:p>
      <w:pPr>
        <w:jc w:val="right"/>
        <w:spacing w:after="2393"/>
      </w:pPr>
      <w:r>
        <w:rPr>
          <w:rFonts w:ascii="Georgia" w:hAnsi="Georgia" w:cs="Georgia"/>
          <w:sz w:val="21"/>
          <w:sz-cs w:val="21"/>
          <w:i/>
          <w:spacing w:val="0"/>
        </w:rPr>
        <w:t xml:space="preserve">Signature du bailleur (ou de son mandataire)</w:t>
      </w:r>
      <w:r>
        <w:rPr>
          <w:rFonts w:ascii="Georgia" w:hAnsi="Georgia" w:cs="Georgia"/>
          <w:sz w:val="21"/>
          <w:sz-cs w:val="21"/>
          <w:spacing w:val="0"/>
        </w:rPr>
        <w:t xml:space="preserve"/>
      </w:r>
    </w:p>
    <w:sectPr>
      <w:footerReference w:type="default" r:id="rIdFooter"/>
      <w:pgSz w:w="11906" w:h="16838"/>
      <w:pgMar w:top="1253" w:right="1417" w:bottom="510" w:left="1417" w:header="709" w:footer="400" w:gutter="0"/>
    </w:sectPr>
  </w:body>
</w:document>
</file>

<file path=word/footer1.xml><?xml version="1.0" encoding="utf-8"?>
<w:ftr xmlns:w="http://schemas.openxmlformats.org/wordprocessingml/2006/main">
  <w:p>
    <w:pPr>
      <w:spacing w:after="60"/>
    </w:pPr>
    <w:r>
      <w:rPr>
        <w:rFonts w:ascii="Georgia" w:hAnsi="Georgia" w:cs="Georgia"/>
        <w:sz w:val="14"/>
        <w:sz-cs w:val="14"/>
        <w:spacing w:val="0"/>
        <w:color w:val="626262"/>
      </w:rPr>
      <w:t xml:space="preserve">Références. Loi n° 89-462 du 6 juillet 1989, article 25-8.</w:t>
    </w:r>
  </w:p>
  <w:p>
    <w:pPr>
      <w:jc w:val="center"/>
    </w:pPr>
    <w:r>
      <w:rPr>
        <w:rFonts w:ascii="Georgia" w:hAnsi="Georgia" w:cs="Georgia"/>
        <w:sz w:val="14"/>
        <w:sz-cs w:val="14"/>
        <w:color w:val="878787"/>
      </w:rPr>
      <w:t xml:space="preserve">Document généré via Assetimmo · assetimmo.fr</w:t>
    </w:r>
  </w:p>
</w:ftr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Relationship Id="rIdFooter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CocoaOOXMLWriter/2685.5</generator>
</meta>
</file>