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160"/>
      </w:pPr>
      <w:r>
        <w:rPr>
          <w:rFonts w:ascii="Helvetica Neue" w:hAnsi="Helvetica Neue" w:cs="Helvetica Neue"/>
          <w:sz w:val="48"/>
          <w:sz-cs w:val="48"/>
          <w:b/>
          <w:spacing w:val="0"/>
          <w:color w:val="141414"/>
        </w:rPr>
        <w:t xml:space="preserve">CONTRAT DE BAIL MOBILITÉ</w:t>
      </w:r>
    </w:p>
    <w:p>
      <w:pPr>
        <w:jc w:val="center"/>
        <w:spacing w:after="213"/>
      </w:pPr>
      <w:r>
        <w:rPr>
          <w:rFonts w:ascii="Georgia" w:hAnsi="Georgia" w:cs="Georgia"/>
          <w:sz w:val="26"/>
          <w:sz-cs w:val="26"/>
          <w:i/>
          <w:spacing w:val="0"/>
          <w:color w:val="434343"/>
        </w:rPr>
        <w:t xml:space="preserve">Location d'un logement meublé, pour une durée déterminée non renouvelable</w:t>
      </w:r>
    </w:p>
    <w:p>
      <w:pPr>
        <w:jc w:val="center"/>
      </w:pPr>
      <w:r>
        <w:rPr>
          <w:rFonts w:ascii="Georgia" w:hAnsi="Georgia" w:cs="Georgia"/>
          <w:sz w:val="28"/>
          <w:sz-cs w:val="28"/>
          <w:spacing w:val="0"/>
          <w:color w:val="6D6D6D"/>
        </w:rPr>
        <w:t xml:space="preserve"/>
      </w:r>
    </w:p>
    <w:p>
      <w:pPr>
        <w:spacing w:after="240"/>
      </w:pPr>
      <w:r>
        <w:rPr>
          <w:rFonts w:ascii="Helvetica Neue" w:hAnsi="Helvetica Neue" w:cs="Helvetica Neue"/>
          <w:sz w:val="30"/>
          <w:sz-cs w:val="30"/>
          <w:b/>
          <w:spacing w:val="0"/>
          <w:color w:val="141414"/>
        </w:rPr>
        <w:t xml:space="preserve">I. Désignation des parties</w:t>
      </w:r>
    </w:p>
    <w:p>
      <w:pPr>
        <w:jc w:val="both"/>
        <w:spacing w:after="213"/>
      </w:pPr>
      <w:r>
        <w:rPr>
          <w:rFonts w:ascii="Georgia" w:hAnsi="Georgia" w:cs="Georgia"/>
          <w:sz w:val="28"/>
          <w:sz-cs w:val="28"/>
          <w:spacing w:val="0"/>
          <w:color w:val="141414"/>
        </w:rPr>
        <w:t xml:space="preserve">Le présent contrat est conclu entre les soussignés :</w:t>
      </w:r>
    </w:p>
    <w:p>
      <w:pPr>
        <w:spacing w:after="133"/>
      </w:pPr>
      <w:r>
        <w:rPr>
          <w:rFonts w:ascii="Georgia" w:hAnsi="Georgia" w:cs="Georgia"/>
          <w:sz w:val="26"/>
          <w:sz-cs w:val="26"/>
          <w:i/>
          <w:spacing w:val="0"/>
          <w:color w:val="2C2C2C"/>
        </w:rPr>
        <w:t xml:space="preserve">Bailleur</w:t>
      </w:r>
    </w:p>
    <w:p>
      <w:pPr>
        <w:jc w:val="both"/>
        <w:spacing w:after="106"/>
      </w:pPr>
      <w:r>
        <w:rPr>
          <w:rFonts w:ascii="Georgia" w:hAnsi="Georgia" w:cs="Georgia"/>
          <w:sz w:val="28"/>
          <w:sz-cs w:val="28"/>
          <w:spacing w:val="0"/>
          <w:color w:val="141414"/>
        </w:rPr>
        <w:t xml:space="preserve">Nom et prénom, ou dénomination : […]</w:t>
      </w:r>
    </w:p>
    <w:p>
      <w:pPr>
        <w:jc w:val="both"/>
        <w:spacing w:after="106"/>
      </w:pPr>
      <w:r>
        <w:rPr>
          <w:rFonts w:ascii="Georgia" w:hAnsi="Georgia" w:cs="Georgia"/>
          <w:sz w:val="28"/>
          <w:sz-cs w:val="28"/>
          <w:spacing w:val="0"/>
          <w:color w:val="141414"/>
        </w:rPr>
        <w:t xml:space="preserve">Domicile ou siège social : […]</w:t>
      </w:r>
    </w:p>
    <w:p>
      <w:pPr>
        <w:jc w:val="both"/>
        <w:spacing w:after="106"/>
      </w:pPr>
      <w:r>
        <w:rPr>
          <w:rFonts w:ascii="Georgia" w:hAnsi="Georgia" w:cs="Georgia"/>
          <w:sz w:val="28"/>
          <w:sz-cs w:val="28"/>
          <w:spacing w:val="0"/>
          <w:color w:val="141414"/>
        </w:rPr>
        <w:t xml:space="preserve">Qualité : personne physique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personne morale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 ci-après « le bailleur ».</w:t>
      </w:r>
    </w:p>
    <w:p>
      <w:pPr>
        <w:spacing w:after="133"/>
      </w:pPr>
      <w:r>
        <w:rPr>
          <w:rFonts w:ascii="Georgia" w:hAnsi="Georgia" w:cs="Georgia"/>
          <w:sz w:val="26"/>
          <w:sz-cs w:val="26"/>
          <w:i/>
          <w:spacing w:val="0"/>
          <w:color w:val="2C2C2C"/>
        </w:rPr>
        <w:t xml:space="preserve">Le cas échéant, mandataire du bailleur</w:t>
      </w:r>
    </w:p>
    <w:p>
      <w:pPr>
        <w:jc w:val="both"/>
        <w:spacing w:after="106"/>
      </w:pPr>
      <w:r>
        <w:rPr>
          <w:rFonts w:ascii="Georgia" w:hAnsi="Georgia" w:cs="Georgia"/>
          <w:sz w:val="28"/>
          <w:sz-cs w:val="28"/>
          <w:spacing w:val="0"/>
          <w:color w:val="141414"/>
        </w:rPr>
        <w:t xml:space="preserve">Nom ou raison sociale et adresse : […]</w:t>
      </w:r>
    </w:p>
    <w:p>
      <w:pPr>
        <w:spacing w:after="133"/>
      </w:pPr>
      <w:r>
        <w:rPr>
          <w:rFonts w:ascii="Georgia" w:hAnsi="Georgia" w:cs="Georgia"/>
          <w:sz w:val="26"/>
          <w:sz-cs w:val="26"/>
          <w:i/>
          <w:spacing w:val="0"/>
          <w:color w:val="2C2C2C"/>
        </w:rPr>
        <w:t xml:space="preserve">Locataire</w:t>
      </w:r>
    </w:p>
    <w:p>
      <w:pPr>
        <w:jc w:val="both"/>
        <w:spacing w:after="106"/>
      </w:pPr>
      <w:r>
        <w:rPr>
          <w:rFonts w:ascii="Georgia" w:hAnsi="Georgia" w:cs="Georgia"/>
          <w:sz w:val="28"/>
          <w:sz-cs w:val="28"/>
          <w:spacing w:val="0"/>
          <w:color w:val="141414"/>
        </w:rPr>
        <w:t xml:space="preserve">Nom et prénom : […]</w:t>
      </w:r>
    </w:p>
    <w:p>
      <w:pPr>
        <w:jc w:val="both"/>
        <w:spacing w:after="106"/>
      </w:pPr>
      <w:r>
        <w:rPr>
          <w:rFonts w:ascii="Georgia" w:hAnsi="Georgia" w:cs="Georgia"/>
          <w:sz w:val="28"/>
          <w:sz-cs w:val="28"/>
          <w:spacing w:val="0"/>
          <w:color w:val="141414"/>
        </w:rPr>
        <w:t xml:space="preserve">Numéro de téléphone portable (facultatif) : […]</w:t>
      </w:r>
    </w:p>
    <w:p>
      <w:pPr>
        <w:jc w:val="both"/>
        <w:spacing w:after="106"/>
      </w:pPr>
      <w:r>
        <w:rPr>
          <w:rFonts w:ascii="Georgia" w:hAnsi="Georgia" w:cs="Georgia"/>
          <w:sz w:val="28"/>
          <w:sz-cs w:val="28"/>
          <w:spacing w:val="0"/>
          <w:color w:val="141414"/>
        </w:rPr>
        <w:t xml:space="preserve">Adresse électronique (facultatif) : […]</w:t>
      </w:r>
    </w:p>
    <w:p>
      <w:pPr>
        <w:jc w:val="both"/>
        <w:spacing w:after="186"/>
      </w:pPr>
      <w:r>
        <w:rPr>
          <w:rFonts w:ascii="Georgia" w:hAnsi="Georgia" w:cs="Georgia"/>
          <w:sz w:val="24"/>
          <w:sz-cs w:val="24"/>
          <w:i/>
          <w:spacing w:val="0"/>
          <w:color w:val="434343"/>
        </w:rPr>
        <w:t xml:space="preserve">Désigné ci-après « le locataire ». Le bail mobilité ne peut être conclu qu'avec une personne physique — jamais une société — à la différence du bail meublé classique.</w:t>
      </w:r>
    </w:p>
    <w:p>
      <w:pPr>
        <w:jc w:val="both"/>
        <w:spacing w:after="213"/>
      </w:pPr>
      <w:r>
        <w:rPr>
          <w:rFonts w:ascii="Georgia" w:hAnsi="Georgia" w:cs="Georgia"/>
          <w:sz w:val="28"/>
          <w:sz-cs w:val="28"/>
          <w:spacing w:val="0"/>
          <w:color w:val="141414"/>
        </w:rPr>
        <w:t xml:space="preserve">Il a été convenu ce qui suit :</w:t>
      </w:r>
    </w:p>
    <w:p>
      <w:pPr>
        <w:spacing w:after="240"/>
      </w:pPr>
      <w:r>
        <w:rPr>
          <w:rFonts w:ascii="Helvetica Neue" w:hAnsi="Helvetica Neue" w:cs="Helvetica Neue"/>
          <w:sz w:val="30"/>
          <w:sz-cs w:val="30"/>
          <w:b/>
          <w:spacing w:val="0"/>
          <w:color w:val="141414"/>
        </w:rPr>
        <w:t xml:space="preserve">II. Objet du contrat</w:t>
      </w:r>
    </w:p>
    <w:p>
      <w:pPr>
        <w:jc w:val="both"/>
        <w:spacing w:after="213"/>
      </w:pPr>
      <w:r>
        <w:rPr>
          <w:rFonts w:ascii="Georgia" w:hAnsi="Georgia" w:cs="Georgia"/>
          <w:sz w:val="28"/>
          <w:sz-cs w:val="28"/>
          <w:spacing w:val="0"/>
          <w:color w:val="141414"/>
        </w:rPr>
        <w:t xml:space="preserve">Le présent contrat a pour objet la location d'un logement ainsi déterminé :</w:t>
      </w:r>
    </w:p>
    <w:p>
      <w:pPr>
        <w:spacing w:after="160"/>
      </w:pPr>
      <w:r>
        <w:rPr>
          <w:rFonts w:ascii="Helvetica Neue" w:hAnsi="Helvetica Neue" w:cs="Helvetica Neue"/>
          <w:sz w:val="26"/>
          <w:sz-cs w:val="26"/>
          <w:b/>
          <w:spacing w:val="0"/>
          <w:color w:val="2C2C2C"/>
        </w:rPr>
        <w:t xml:space="preserve">A. Consistance et destination du logement</w:t>
      </w:r>
    </w:p>
    <w:p>
      <w:pPr>
        <w:jc w:val="both"/>
        <w:spacing w:after="106"/>
      </w:pPr>
      <w:r>
        <w:rPr>
          <w:rFonts w:ascii="Georgia" w:hAnsi="Georgia" w:cs="Georgia"/>
          <w:sz w:val="28"/>
          <w:sz-cs w:val="28"/>
          <w:spacing w:val="0"/>
          <w:color w:val="141414"/>
        </w:rPr>
        <w:t xml:space="preserve">Localisation du logement : […]</w:t>
      </w:r>
    </w:p>
    <w:p>
      <w:pPr>
        <w:jc w:val="both"/>
        <w:spacing w:after="106"/>
      </w:pPr>
      <w:r>
        <w:rPr>
          <w:rFonts w:ascii="Georgia" w:hAnsi="Georgia" w:cs="Georgia"/>
          <w:sz w:val="28"/>
          <w:sz-cs w:val="28"/>
          <w:spacing w:val="0"/>
          <w:color w:val="141414"/>
        </w:rPr>
        <w:t xml:space="preserve">Surface habitable : […] m²   Nombre de pièces principales : […]</w:t>
      </w:r>
    </w:p>
    <w:p>
      <w:pPr>
        <w:jc w:val="both"/>
        <w:spacing w:after="106"/>
      </w:pPr>
      <w:r>
        <w:rPr>
          <w:rFonts w:ascii="Georgia" w:hAnsi="Georgia" w:cs="Georgia"/>
          <w:sz w:val="28"/>
          <w:sz-cs w:val="28"/>
          <w:spacing w:val="0"/>
          <w:color w:val="141414"/>
        </w:rPr>
        <w:t xml:space="preserve">Destination des locaux : usage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usage mixte professionnel et d'habitation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r>
    </w:p>
    <w:p>
      <w:pPr>
        <w:jc w:val="both"/>
        <w:spacing w:after="106"/>
      </w:pPr>
      <w:r>
        <w:rPr>
          <w:rFonts w:ascii="Georgia" w:hAnsi="Georgia" w:cs="Georgia"/>
          <w:sz w:val="28"/>
          <w:sz-cs w:val="28"/>
          <w:spacing w:val="0"/>
          <w:color w:val="141414"/>
        </w:rPr>
        <w:t xml:space="preserve">Le cas échéant, locaux et équipements à usage privatif du locataire : […]</w:t>
      </w:r>
    </w:p>
    <w:p>
      <w:pPr>
        <w:jc w:val="both"/>
        <w:spacing w:after="106"/>
      </w:pPr>
      <w:r>
        <w:rPr>
          <w:rFonts w:ascii="Georgia" w:hAnsi="Georgia" w:cs="Georgia"/>
          <w:sz w:val="28"/>
          <w:sz-cs w:val="28"/>
          <w:spacing w:val="0"/>
          <w:color w:val="141414"/>
        </w:rPr>
        <w:t xml:space="preserve">Le cas échéant, parties, équipements et accessoires à usage commun : […]</w:t>
      </w:r>
    </w:p>
    <w:p>
      <w:pPr>
        <w:jc w:val="both"/>
        <w:spacing w:after="106"/>
      </w:pPr>
      <w:r>
        <w:rPr>
          <w:rFonts w:ascii="Georgia" w:hAnsi="Georgia" w:cs="Georgia"/>
          <w:sz w:val="28"/>
          <w:sz-cs w:val="28"/>
          <w:spacing w:val="0"/>
          <w:color w:val="141414"/>
        </w:rPr>
        <w:t xml:space="preserve">Niveau de performance du logement (DPE) : […]</w:t>
      </w:r>
    </w:p>
    <w:p>
      <w:pPr>
        <w:jc w:val="both"/>
        <w:spacing w:after="186"/>
      </w:pPr>
      <w:r>
        <w:rPr>
          <w:rFonts w:ascii="Georgia" w:hAnsi="Georgia" w:cs="Georgia"/>
          <w:sz w:val="24"/>
          <w:sz-cs w:val="24"/>
          <w:i/>
          <w:spacing w:val="0"/>
          <w:color w:val="434343"/>
        </w:rPr>
        <w:t xml:space="preserve">Un logement classé G au diagnostic de performance énergétique est interdit à la location depuis le 1er janvier 2025, y compris en bail mobilité.</w:t>
      </w:r>
    </w:p>
    <w:p>
      <w:pPr>
        <w:spacing w:after="160"/>
      </w:pPr>
      <w:r>
        <w:rPr>
          <w:rFonts w:ascii="Helvetica Neue" w:hAnsi="Helvetica Neue" w:cs="Helvetica Neue"/>
          <w:sz w:val="26"/>
          <w:sz-cs w:val="26"/>
          <w:b/>
          <w:spacing w:val="0"/>
          <w:color w:val="2C2C2C"/>
        </w:rPr>
        <w:t xml:space="preserve">B. Mobilier</w:t>
      </w:r>
    </w:p>
    <w:p>
      <w:pPr>
        <w:jc w:val="both"/>
        <w:spacing w:after="213"/>
      </w:pPr>
      <w:r>
        <w:rPr>
          <w:rFonts w:ascii="Georgia" w:hAnsi="Georgia" w:cs="Georgia"/>
          <w:sz w:val="28"/>
          <w:sz-cs w:val="28"/>
          <w:spacing w:val="0"/>
          <w:color w:val="141414"/>
        </w:rPr>
        <w:t xml:space="preserve">Le logement comprend, au minimum, les équipements suivants (art. 2 du décret n° 2015-981 du 31 juillet 2015) :</w:t>
      </w:r>
    </w:p>
    <w:p>
      <w:pPr/>
      <w:r>
        <w:rPr>
          <w:rFonts w:ascii="Helvetica Neue" w:hAnsi="Helvetica Neue" w:cs="Helvetica Neue"/>
          <w:sz w:val="22"/>
          <w:sz-cs w:val="22"/>
          <w:b/>
          <w:spacing w:val="0"/>
          <w:color w:val="141414"/>
        </w:rPr>
        <w:t xml:space="preserve">N°</w:t>
      </w:r>
    </w:p>
    <w:p>
      <w:pPr/>
      <w:r>
        <w:rPr>
          <w:rFonts w:ascii="Helvetica Neue" w:hAnsi="Helvetica Neue" w:cs="Helvetica Neue"/>
          <w:sz w:val="22"/>
          <w:sz-cs w:val="22"/>
          <w:b/>
          <w:spacing w:val="0"/>
          <w:color w:val="141414"/>
        </w:rPr>
        <w:t xml:space="preserve">ÉLÉMENT</w:t>
      </w:r>
    </w:p>
    <w:p>
      <w:pPr/>
      <w:r>
        <w:rPr>
          <w:rFonts w:ascii="Georgia" w:hAnsi="Georgia" w:cs="Georgia"/>
          <w:sz w:val="25"/>
          <w:sz-cs w:val="25"/>
          <w:spacing w:val="0"/>
          <w:color w:val="141414"/>
        </w:rPr>
        <w:t xml:space="preserve">1°</w:t>
      </w:r>
    </w:p>
    <w:p>
      <w:pPr/>
      <w:r>
        <w:rPr>
          <w:rFonts w:ascii="Georgia" w:hAnsi="Georgia" w:cs="Georgia"/>
          <w:sz w:val="25"/>
          <w:sz-cs w:val="25"/>
          <w:spacing w:val="0"/>
          <w:color w:val="141414"/>
        </w:rPr>
        <w:t xml:space="preserve">Literie comprenant couette ou couverture</w:t>
      </w:r>
    </w:p>
    <w:p>
      <w:pPr/>
      <w:r>
        <w:rPr>
          <w:rFonts w:ascii="Georgia" w:hAnsi="Georgia" w:cs="Georgia"/>
          <w:sz w:val="25"/>
          <w:sz-cs w:val="25"/>
          <w:spacing w:val="0"/>
          <w:color w:val="141414"/>
        </w:rPr>
        <w:t xml:space="preserve">2°</w:t>
      </w:r>
    </w:p>
    <w:p>
      <w:pPr/>
      <w:r>
        <w:rPr>
          <w:rFonts w:ascii="Georgia" w:hAnsi="Georgia" w:cs="Georgia"/>
          <w:sz w:val="25"/>
          <w:sz-cs w:val="25"/>
          <w:spacing w:val="0"/>
          <w:color w:val="141414"/>
        </w:rPr>
        <w:t xml:space="preserve">Dispositif d'occultation des fenêtres des chambres</w:t>
      </w:r>
    </w:p>
    <w:p>
      <w:pPr/>
      <w:r>
        <w:rPr>
          <w:rFonts w:ascii="Georgia" w:hAnsi="Georgia" w:cs="Georgia"/>
          <w:sz w:val="25"/>
          <w:sz-cs w:val="25"/>
          <w:spacing w:val="0"/>
          <w:color w:val="141414"/>
        </w:rPr>
        <w:t xml:space="preserve">3°</w:t>
      </w:r>
    </w:p>
    <w:p>
      <w:pPr/>
      <w:r>
        <w:rPr>
          <w:rFonts w:ascii="Georgia" w:hAnsi="Georgia" w:cs="Georgia"/>
          <w:sz w:val="25"/>
          <w:sz-cs w:val="25"/>
          <w:spacing w:val="0"/>
          <w:color w:val="141414"/>
        </w:rPr>
        <w:t xml:space="preserve">Plaques de cuisson</w:t>
      </w:r>
    </w:p>
    <w:p>
      <w:pPr/>
      <w:r>
        <w:rPr>
          <w:rFonts w:ascii="Georgia" w:hAnsi="Georgia" w:cs="Georgia"/>
          <w:sz w:val="25"/>
          <w:sz-cs w:val="25"/>
          <w:spacing w:val="0"/>
          <w:color w:val="141414"/>
        </w:rPr>
        <w:t xml:space="preserve">4°</w:t>
      </w:r>
    </w:p>
    <w:p>
      <w:pPr/>
      <w:r>
        <w:rPr>
          <w:rFonts w:ascii="Georgia" w:hAnsi="Georgia" w:cs="Georgia"/>
          <w:sz w:val="25"/>
          <w:sz-cs w:val="25"/>
          <w:spacing w:val="0"/>
          <w:color w:val="141414"/>
        </w:rPr>
        <w:t xml:space="preserve">Four ou four à micro-ondes</w:t>
      </w:r>
    </w:p>
    <w:p>
      <w:pPr/>
      <w:r>
        <w:rPr>
          <w:rFonts w:ascii="Georgia" w:hAnsi="Georgia" w:cs="Georgia"/>
          <w:sz w:val="25"/>
          <w:sz-cs w:val="25"/>
          <w:spacing w:val="0"/>
          <w:color w:val="141414"/>
        </w:rPr>
        <w:t xml:space="preserve">5°</w:t>
      </w:r>
    </w:p>
    <w:p>
      <w:pPr/>
      <w:r>
        <w:rPr>
          <w:rFonts w:ascii="Georgia" w:hAnsi="Georgia" w:cs="Georgia"/>
          <w:sz w:val="25"/>
          <w:sz-cs w:val="25"/>
          <w:spacing w:val="0"/>
          <w:color w:val="141414"/>
        </w:rPr>
        <w:t xml:space="preserve">Réfrigérateur et congélateur, ou réfrigérateur avec compartiment ≤ −6 °C</w:t>
      </w:r>
    </w:p>
    <w:p>
      <w:pPr/>
      <w:r>
        <w:rPr>
          <w:rFonts w:ascii="Georgia" w:hAnsi="Georgia" w:cs="Georgia"/>
          <w:sz w:val="25"/>
          <w:sz-cs w:val="25"/>
          <w:spacing w:val="0"/>
          <w:color w:val="141414"/>
        </w:rPr>
        <w:t xml:space="preserve">6°</w:t>
      </w:r>
    </w:p>
    <w:p>
      <w:pPr/>
      <w:r>
        <w:rPr>
          <w:rFonts w:ascii="Georgia" w:hAnsi="Georgia" w:cs="Georgia"/>
          <w:sz w:val="25"/>
          <w:sz-cs w:val="25"/>
          <w:spacing w:val="0"/>
          <w:color w:val="141414"/>
        </w:rPr>
        <w:t xml:space="preserve">Vaisselle nécessaire à la prise des repas</w:t>
      </w:r>
    </w:p>
    <w:p>
      <w:pPr/>
      <w:r>
        <w:rPr>
          <w:rFonts w:ascii="Georgia" w:hAnsi="Georgia" w:cs="Georgia"/>
          <w:sz w:val="25"/>
          <w:sz-cs w:val="25"/>
          <w:spacing w:val="0"/>
          <w:color w:val="141414"/>
        </w:rPr>
        <w:t xml:space="preserve">7°</w:t>
      </w:r>
    </w:p>
    <w:p>
      <w:pPr/>
      <w:r>
        <w:rPr>
          <w:rFonts w:ascii="Georgia" w:hAnsi="Georgia" w:cs="Georgia"/>
          <w:sz w:val="25"/>
          <w:sz-cs w:val="25"/>
          <w:spacing w:val="0"/>
          <w:color w:val="141414"/>
        </w:rPr>
        <w:t xml:space="preserve">Ustensiles de cuisine</w:t>
      </w:r>
    </w:p>
    <w:p>
      <w:pPr/>
      <w:r>
        <w:rPr>
          <w:rFonts w:ascii="Georgia" w:hAnsi="Georgia" w:cs="Georgia"/>
          <w:sz w:val="25"/>
          <w:sz-cs w:val="25"/>
          <w:spacing w:val="0"/>
          <w:color w:val="141414"/>
        </w:rPr>
        <w:t xml:space="preserve">8°</w:t>
      </w:r>
    </w:p>
    <w:p>
      <w:pPr/>
      <w:r>
        <w:rPr>
          <w:rFonts w:ascii="Georgia" w:hAnsi="Georgia" w:cs="Georgia"/>
          <w:sz w:val="25"/>
          <w:sz-cs w:val="25"/>
          <w:spacing w:val="0"/>
          <w:color w:val="141414"/>
        </w:rPr>
        <w:t xml:space="preserve">Table et sièges</w:t>
      </w:r>
    </w:p>
    <w:p>
      <w:pPr/>
      <w:r>
        <w:rPr>
          <w:rFonts w:ascii="Georgia" w:hAnsi="Georgia" w:cs="Georgia"/>
          <w:sz w:val="25"/>
          <w:sz-cs w:val="25"/>
          <w:spacing w:val="0"/>
          <w:color w:val="141414"/>
        </w:rPr>
        <w:t xml:space="preserve">9°</w:t>
      </w:r>
    </w:p>
    <w:p>
      <w:pPr/>
      <w:r>
        <w:rPr>
          <w:rFonts w:ascii="Georgia" w:hAnsi="Georgia" w:cs="Georgia"/>
          <w:sz w:val="25"/>
          <w:sz-cs w:val="25"/>
          <w:spacing w:val="0"/>
          <w:color w:val="141414"/>
        </w:rPr>
        <w:t xml:space="preserve">Étagères de rangement</w:t>
      </w:r>
    </w:p>
    <w:p>
      <w:pPr/>
      <w:r>
        <w:rPr>
          <w:rFonts w:ascii="Georgia" w:hAnsi="Georgia" w:cs="Georgia"/>
          <w:sz w:val="25"/>
          <w:sz-cs w:val="25"/>
          <w:spacing w:val="0"/>
          <w:color w:val="141414"/>
        </w:rPr>
        <w:t xml:space="preserve">10°</w:t>
      </w:r>
    </w:p>
    <w:p>
      <w:pPr/>
      <w:r>
        <w:rPr>
          <w:rFonts w:ascii="Georgia" w:hAnsi="Georgia" w:cs="Georgia"/>
          <w:sz w:val="25"/>
          <w:sz-cs w:val="25"/>
          <w:spacing w:val="0"/>
          <w:color w:val="141414"/>
        </w:rPr>
        <w:t xml:space="preserve">Luminaires</w:t>
      </w:r>
    </w:p>
    <w:p>
      <w:pPr/>
      <w:r>
        <w:rPr>
          <w:rFonts w:ascii="Georgia" w:hAnsi="Georgia" w:cs="Georgia"/>
          <w:sz w:val="25"/>
          <w:sz-cs w:val="25"/>
          <w:spacing w:val="0"/>
          <w:color w:val="141414"/>
        </w:rPr>
        <w:t xml:space="preserve">11°</w:t>
      </w:r>
    </w:p>
    <w:p>
      <w:pPr/>
      <w:r>
        <w:rPr>
          <w:rFonts w:ascii="Georgia" w:hAnsi="Georgia" w:cs="Georgia"/>
          <w:sz w:val="25"/>
          <w:sz-cs w:val="25"/>
          <w:spacing w:val="0"/>
          <w:color w:val="141414"/>
        </w:rPr>
        <w:t xml:space="preserve">Matériel d'entretien ménager adapté aux caractéristiques du logement</w:t>
      </w:r>
    </w:p>
    <w:p>
      <w:pPr>
        <w:spacing w:after="240"/>
      </w:pPr>
      <w:r>
        <w:rPr>
          <w:rFonts w:ascii="Helvetica Neue" w:hAnsi="Helvetica Neue" w:cs="Helvetica Neue"/>
          <w:sz w:val="30"/>
          <w:sz-cs w:val="30"/>
          <w:b/>
          <w:spacing w:val="0"/>
          <w:color w:val="141414"/>
        </w:rPr>
        <w:t xml:space="preserve">III. Date de prise d'effet et durée du contrat</w:t>
      </w:r>
    </w:p>
    <w:p>
      <w:pPr>
        <w:jc w:val="both"/>
        <w:spacing w:after="106"/>
      </w:pPr>
      <w:r>
        <w:rPr>
          <w:rFonts w:ascii="Georgia" w:hAnsi="Georgia" w:cs="Georgia"/>
          <w:sz w:val="28"/>
          <w:sz-cs w:val="28"/>
          <w:spacing w:val="0"/>
          <w:color w:val="141414"/>
        </w:rPr>
        <w:t xml:space="preserve">Date de prise d'effet : […]</w:t>
      </w:r>
    </w:p>
    <w:p>
      <w:pPr>
        <w:jc w:val="both"/>
        <w:spacing w:after="106"/>
      </w:pPr>
      <w:r>
        <w:rPr>
          <w:rFonts w:ascii="Georgia" w:hAnsi="Georgia" w:cs="Georgia"/>
          <w:sz w:val="28"/>
          <w:sz-cs w:val="28"/>
          <w:spacing w:val="0"/>
          <w:color w:val="141414"/>
        </w:rPr>
        <w:t xml:space="preserve">Durée du contrat : […] mois   Terme du contrat : […]</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Logement situé dans une résidence à vocation d'emploi</w:t>
      </w:r>
    </w:p>
    <w:p>
      <w:pPr>
        <w:jc w:val="both"/>
        <w:spacing w:after="213"/>
      </w:pPr>
      <w:r>
        <w:rPr>
          <w:rFonts w:ascii="Georgia" w:hAnsi="Georgia" w:cs="Georgia"/>
          <w:sz w:val="28"/>
          <w:sz-cs w:val="28"/>
          <w:spacing w:val="0"/>
          <w:color w:val="141414"/>
        </w:rPr>
        <w:t xml:space="preserve">Le présent contrat est conclu pour une durée déterminée, comprise entre 1 et 10 mois (entre 1 semaine et 18 mois si le logement est situé dans une résidence à vocation d'emploi), non renouvelable et non reconductible tacitement. Sa durée ne peut être modifiée qu'une seule fois, par avenant, sans dépasser le plafond applicable.</w:t>
      </w:r>
    </w:p>
    <w:p>
      <w:pPr>
        <w:spacing w:after="240"/>
      </w:pPr>
      <w:r>
        <w:rPr>
          <w:rFonts w:ascii="Helvetica Neue" w:hAnsi="Helvetica Neue" w:cs="Helvetica Neue"/>
          <w:sz w:val="30"/>
          <w:sz-cs w:val="30"/>
          <w:b/>
          <w:spacing w:val="0"/>
          <w:color w:val="141414"/>
        </w:rPr>
        <w:t xml:space="preserve">IV. Conditions financières</w:t>
      </w:r>
    </w:p>
    <w:p>
      <w:pPr>
        <w:spacing w:after="160"/>
      </w:pPr>
      <w:r>
        <w:rPr>
          <w:rFonts w:ascii="Helvetica Neue" w:hAnsi="Helvetica Neue" w:cs="Helvetica Neue"/>
          <w:sz w:val="26"/>
          <w:sz-cs w:val="26"/>
          <w:b/>
          <w:spacing w:val="0"/>
          <w:color w:val="2C2C2C"/>
        </w:rPr>
        <w:t xml:space="preserve">A. Loyer</w:t>
      </w:r>
    </w:p>
    <w:p>
      <w:pPr>
        <w:jc w:val="both"/>
        <w:spacing w:after="106"/>
      </w:pPr>
      <w:r>
        <w:rPr>
          <w:rFonts w:ascii="Georgia" w:hAnsi="Georgia" w:cs="Georgia"/>
          <w:sz w:val="28"/>
          <w:sz-cs w:val="28"/>
          <w:spacing w:val="0"/>
          <w:color w:val="141414"/>
        </w:rPr>
        <w:t xml:space="preserve">Montant du loyer mensuel, charges comprises : […] €</w:t>
      </w:r>
    </w:p>
    <w:p>
      <w:pPr>
        <w:jc w:val="both"/>
        <w:spacing w:after="106"/>
      </w:pPr>
      <w:r>
        <w:rPr>
          <w:rFonts w:ascii="Georgia" w:hAnsi="Georgia" w:cs="Georgia"/>
          <w:sz w:val="28"/>
          <w:sz-cs w:val="28"/>
          <w:i/>
          <w:spacing w:val="0"/>
          <w:color w:val="141414"/>
        </w:rPr>
        <w:t xml:space="preserve">Le cas échéant,</w:t>
      </w:r>
      <w:r>
        <w:rPr>
          <w:rFonts w:ascii="Georgia" w:hAnsi="Georgia" w:cs="Georgia"/>
          <w:sz w:val="28"/>
          <w:sz-cs w:val="28"/>
          <w:spacing w:val="0"/>
          <w:color w:val="141414"/>
        </w:rPr>
        <w:t xml:space="preserve"> informations relatives au loyer du dernier locataire </w:t>
      </w:r>
      <w:r>
        <w:rPr>
          <w:rFonts w:ascii="Georgia" w:hAnsi="Georgia" w:cs="Georgia"/>
          <w:sz w:val="28"/>
          <w:sz-cs w:val="28"/>
          <w:i/>
          <w:spacing w:val="0"/>
          <w:color w:val="141414"/>
        </w:rPr>
        <w:t xml:space="preserve">(obligatoire si celui-ci a quitté le logement moins de dix-huit mois avant la signature)</w:t>
      </w:r>
      <w:r>
        <w:rPr>
          <w:rFonts w:ascii="Georgia" w:hAnsi="Georgia" w:cs="Georgia"/>
          <w:sz w:val="28"/>
          <w:sz-cs w:val="28"/>
          <w:spacing w:val="0"/>
          <w:color w:val="141414"/>
        </w:rPr>
        <w:t xml:space="preserve"> : montant […] € — date de versement […] — date de la dernière révision […]</w:t>
      </w:r>
    </w:p>
    <w:p>
      <w:pPr>
        <w:spacing w:after="160"/>
      </w:pPr>
      <w:r>
        <w:rPr>
          <w:rFonts w:ascii="Helvetica Neue" w:hAnsi="Helvetica Neue" w:cs="Helvetica Neue"/>
          <w:sz w:val="26"/>
          <w:sz-cs w:val="26"/>
          <w:b/>
          <w:spacing w:val="0"/>
          <w:color w:val="2C2C2C"/>
        </w:rPr>
        <w:t xml:space="preserve">B. Charges récupérables</w:t>
      </w:r>
    </w:p>
    <w:p>
      <w:pPr>
        <w:jc w:val="both"/>
        <w:spacing w:after="106"/>
      </w:pPr>
      <w:r>
        <w:rPr>
          <w:rFonts w:ascii="Georgia" w:hAnsi="Georgia" w:cs="Georgia"/>
          <w:sz w:val="28"/>
          <w:sz-cs w:val="28"/>
          <w:spacing w:val="0"/>
          <w:color w:val="141414"/>
        </w:rPr>
        <w:t xml:space="preserve">Modalité : forfait, inclus dans le loyer ci-dessus</w:t>
      </w:r>
    </w:p>
    <w:p>
      <w:pPr>
        <w:jc w:val="both"/>
        <w:spacing w:after="186"/>
      </w:pPr>
      <w:r>
        <w:rPr>
          <w:rFonts w:ascii="Georgia" w:hAnsi="Georgia" w:cs="Georgia"/>
          <w:sz w:val="24"/>
          <w:sz-cs w:val="24"/>
          <w:i/>
          <w:spacing w:val="0"/>
          <w:color w:val="434343"/>
        </w:rPr>
        <w:t xml:space="preserve">Le forfait est la seule modalité possible en bail mobilité — aucune régularisation, aucune provision distincte.</w:t>
      </w:r>
    </w:p>
    <w:p>
      <w:pPr>
        <w:spacing w:after="160"/>
      </w:pPr>
      <w:r>
        <w:rPr>
          <w:rFonts w:ascii="Helvetica Neue" w:hAnsi="Helvetica Neue" w:cs="Helvetica Neue"/>
          <w:sz w:val="26"/>
          <w:sz-cs w:val="26"/>
          <w:b/>
          <w:spacing w:val="0"/>
          <w:color w:val="2C2C2C"/>
        </w:rPr>
        <w:t xml:space="preserve">C. Modalités de paiement</w:t>
      </w:r>
    </w:p>
    <w:p>
      <w:pPr>
        <w:jc w:val="both"/>
        <w:spacing w:after="106"/>
      </w:pPr>
      <w:r>
        <w:rPr>
          <w:rFonts w:ascii="Georgia" w:hAnsi="Georgia" w:cs="Georgia"/>
          <w:sz w:val="28"/>
          <w:sz-cs w:val="28"/>
          <w:spacing w:val="0"/>
          <w:color w:val="141414"/>
        </w:rPr>
        <w:t xml:space="preserve">Périodicité du paiement : […]   Date ou période de paiement : […]</w:t>
      </w:r>
    </w:p>
    <w:p>
      <w:pPr>
        <w:spacing w:after="240"/>
      </w:pPr>
      <w:r>
        <w:rPr>
          <w:rFonts w:ascii="Helvetica Neue" w:hAnsi="Helvetica Neue" w:cs="Helvetica Neue"/>
          <w:sz w:val="30"/>
          <w:sz-cs w:val="30"/>
          <w:b/>
          <w:spacing w:val="0"/>
          <w:color w:val="141414"/>
        </w:rPr>
        <w:t xml:space="preserve">V. Travaux</w:t>
      </w:r>
    </w:p>
    <w:p>
      <w:pPr>
        <w:jc w:val="both"/>
        <w:spacing w:after="213"/>
      </w:pPr>
      <w:r>
        <w:rPr>
          <w:rFonts w:ascii="Georgia" w:hAnsi="Georgia" w:cs="Georgia"/>
          <w:sz w:val="28"/>
          <w:sz-cs w:val="28"/>
          <w:spacing w:val="0"/>
          <w:color w:val="141414"/>
        </w:rPr>
        <w:t xml:space="preserve">Le cas échéant, nature et montant des travaux effectués dans le logement depuis la fin du dernier contrat de location : […]</w:t>
      </w:r>
    </w:p>
    <w:p>
      <w:pPr>
        <w:spacing w:after="240"/>
      </w:pPr>
      <w:r>
        <w:rPr>
          <w:rFonts w:ascii="Helvetica Neue" w:hAnsi="Helvetica Neue" w:cs="Helvetica Neue"/>
          <w:sz w:val="30"/>
          <w:sz-cs w:val="30"/>
          <w:b/>
          <w:spacing w:val="0"/>
          <w:color w:val="141414"/>
        </w:rPr>
        <w:t xml:space="preserve">VI. Garanties</w:t>
      </w:r>
    </w:p>
    <w:p>
      <w:pPr>
        <w:jc w:val="both"/>
        <w:spacing w:after="213"/>
      </w:pPr>
      <w:r>
        <w:rPr>
          <w:rFonts w:ascii="Georgia" w:hAnsi="Georgia" w:cs="Georgia"/>
          <w:sz w:val="28"/>
          <w:sz-cs w:val="28"/>
          <w:spacing w:val="0"/>
          <w:color w:val="141414"/>
        </w:rPr>
        <w:t xml:space="preserve">Conformément à l'article 25-13 de la loi n° 89-462 du 6 juillet 1989, il est interdit au bailleur d'exiger du locataire le versement d'un dépôt de garantie, que ce soit à la signature du présent contrat ou à l'occasion d'une éventuelle prorogation.</w:t>
      </w:r>
    </w:p>
    <w:p>
      <w:pPr>
        <w:spacing w:after="240"/>
      </w:pPr>
      <w:r>
        <w:rPr>
          <w:rFonts w:ascii="Helvetica Neue" w:hAnsi="Helvetica Neue" w:cs="Helvetica Neue"/>
          <w:sz w:val="30"/>
          <w:sz-cs w:val="30"/>
          <w:b/>
          <w:spacing w:val="0"/>
          <w:color w:val="141414"/>
        </w:rPr>
        <w:t xml:space="preserve">VII. Solidarité</w:t>
      </w:r>
    </w:p>
    <w:p>
      <w:pPr>
        <w:jc w:val="both"/>
        <w:spacing w:after="213"/>
      </w:pPr>
      <w:r>
        <w:rPr>
          <w:rFonts w:ascii="Georgia" w:hAnsi="Georgia" w:cs="Georgia"/>
          <w:sz w:val="28"/>
          <w:sz-cs w:val="28"/>
          <w:spacing w:val="0"/>
          <w:color w:val="141414"/>
        </w:rPr>
        <w:t xml:space="preserve">Toute clause de solidarité entre colocataires, ou entre leurs cautions, est réputée non écrite (art. 25-13 de la loi n° 89-462 du 6 juillet 1989). En cas de colocation, chaque locataire n'est tenu que de sa propre quote-part de loyer et de charges.</w:t>
      </w:r>
    </w:p>
    <w:p>
      <w:pPr>
        <w:spacing w:after="240"/>
      </w:pPr>
      <w:r>
        <w:rPr>
          <w:rFonts w:ascii="Helvetica Neue" w:hAnsi="Helvetica Neue" w:cs="Helvetica Neue"/>
          <w:sz w:val="30"/>
          <w:sz-cs w:val="30"/>
          <w:b/>
          <w:spacing w:val="0"/>
          <w:color w:val="141414"/>
        </w:rPr>
        <w:t xml:space="preserve">VIII. Fin du contrat</w:t>
      </w:r>
    </w:p>
    <w:p>
      <w:pPr>
        <w:jc w:val="both"/>
        <w:spacing w:after="213"/>
      </w:pPr>
      <w:r>
        <w:rPr>
          <w:rFonts w:ascii="Georgia" w:hAnsi="Georgia" w:cs="Georgia"/>
          <w:sz w:val="28"/>
          <w:sz-cs w:val="28"/>
          <w:spacing w:val="0"/>
          <w:color w:val="141414"/>
        </w:rPr>
        <w:t xml:space="preserve">Le locataire peut résilier le contrat à tout moment, sous réserve d'un préavis d'un mois. Le bailleur ne peut donner congé avant le terme prévu, sauf motif légitime et sérieux ou manquement du locataire à ses obligations.</w:t>
      </w:r>
    </w:p>
    <w:p>
      <w:pPr>
        <w:jc w:val="both"/>
        <w:spacing w:after="213"/>
      </w:pPr>
      <w:r>
        <w:rPr>
          <w:rFonts w:ascii="Georgia" w:hAnsi="Georgia" w:cs="Georgia"/>
          <w:sz w:val="28"/>
          <w:sz-cs w:val="28"/>
          <w:spacing w:val="0"/>
          <w:color w:val="141414"/>
        </w:rPr>
        <w:t xml:space="preserve">À l'échéance du terme (éventuellement prorogé une seule fois), le contrat prend fin de plein droit. Si les parties souhaitent poursuivre la location du même logement au-delà, le nouveau contrat ne pourra pas être un second bail mobilité : ce sera nécessairement un bail meublé de droit commun, soumis au titre I</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bis.</w:t>
      </w:r>
    </w:p>
    <w:p>
      <w:pPr>
        <w:spacing w:after="240"/>
      </w:pPr>
      <w:r>
        <w:rPr>
          <w:rFonts w:ascii="Helvetica Neue" w:hAnsi="Helvetica Neue" w:cs="Helvetica Neue"/>
          <w:sz w:val="30"/>
          <w:sz-cs w:val="30"/>
          <w:b/>
          <w:spacing w:val="0"/>
          <w:color w:val="141414"/>
        </w:rPr>
        <w:t xml:space="preserve">IX. Le cas échéant, honoraires de location</w:t>
      </w:r>
    </w:p>
    <w:p>
      <w:pPr>
        <w:jc w:val="both"/>
        <w:spacing w:after="186"/>
      </w:pPr>
      <w:r>
        <w:rPr>
          <w:rFonts w:ascii="Georgia" w:hAnsi="Georgia" w:cs="Georgia"/>
          <w:sz w:val="24"/>
          <w:sz-cs w:val="24"/>
          <w:i/>
          <w:spacing w:val="0"/>
          <w:color w:val="434343"/>
        </w:rPr>
        <w:t xml:space="preserve">Comme pour le bail meublé classique, les honoraires d'entremise sont à la charge exclusive du bailleur, à l'exception de ceux liés à la visite, à la constitution du dossier et à la rédaction du bail, partagés dans la limite d'un plafond réglementaire au mètre carré.</w:t>
      </w:r>
    </w:p>
    <w:p>
      <w:pPr>
        <w:jc w:val="both"/>
        <w:spacing w:after="106"/>
      </w:pPr>
      <w:r>
        <w:rPr>
          <w:rFonts w:ascii="Georgia" w:hAnsi="Georgia" w:cs="Georgia"/>
          <w:sz w:val="28"/>
          <w:sz-cs w:val="28"/>
          <w:spacing w:val="0"/>
          <w:color w:val="141414"/>
        </w:rPr>
        <w:t xml:space="preserve">Plafond des honoraires imputables au locataire : […] €/m²</w:t>
      </w:r>
    </w:p>
    <w:p>
      <w:pPr>
        <w:jc w:val="both"/>
        <w:spacing w:after="106"/>
      </w:pPr>
      <w:r>
        <w:rPr>
          <w:rFonts w:ascii="Georgia" w:hAnsi="Georgia" w:cs="Georgia"/>
          <w:sz w:val="28"/>
          <w:sz-cs w:val="28"/>
          <w:spacing w:val="0"/>
          <w:color w:val="141414"/>
        </w:rPr>
        <w:t xml:space="preserve">Honoraires à la charge du bailleur : […] €   Honoraires à la charge du locataire : […] €</w:t>
      </w:r>
    </w:p>
    <w:p>
      <w:pPr>
        <w:spacing w:after="240"/>
      </w:pPr>
      <w:r>
        <w:rPr>
          <w:rFonts w:ascii="Helvetica Neue" w:hAnsi="Helvetica Neue" w:cs="Helvetica Neue"/>
          <w:sz w:val="30"/>
          <w:sz-cs w:val="30"/>
          <w:b/>
          <w:spacing w:val="0"/>
          <w:color w:val="141414"/>
        </w:rPr>
        <w:t xml:space="preserve">X. Autres conditions particulières</w:t>
      </w:r>
    </w:p>
    <w:p>
      <w:pPr>
        <w:jc w:val="both"/>
        <w:spacing w:after="106"/>
      </w:pPr>
      <w:r>
        <w:rPr>
          <w:rFonts w:ascii="Georgia" w:hAnsi="Georgia" w:cs="Georgia"/>
          <w:sz w:val="28"/>
          <w:sz-cs w:val="28"/>
          <w:spacing w:val="0"/>
          <w:color w:val="141414"/>
        </w:rPr>
        <w:t xml:space="preserve">Sous-location et cession </w:t>
      </w: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i/>
          <w:spacing w:val="0"/>
          <w:color w:val="141414"/>
        </w:rPr>
        <w:t xml:space="preserve">(à cocher si retenue)</w:t>
      </w:r>
      <w:r>
        <w:rPr>
          <w:rFonts w:ascii="Georgia" w:hAnsi="Georgia" w:cs="Georgia"/>
          <w:sz w:val="28"/>
          <w:sz-cs w:val="28"/>
          <w:spacing w:val="0"/>
          <w:color w:val="141414"/>
        </w:rPr>
        <w:t xml:space="preserve"/>
      </w:r>
    </w:p>
    <w:p>
      <w:pPr>
        <w:jc w:val="both"/>
        <w:spacing w:after="213"/>
      </w:pPr>
      <w:r>
        <w:rPr>
          <w:rFonts w:ascii="Georgia" w:hAnsi="Georgia" w:cs="Georgia"/>
          <w:sz w:val="28"/>
          <w:sz-cs w:val="28"/>
          <w:spacing w:val="0"/>
          <w:color w:val="141414"/>
        </w:rPr>
        <w:t xml:space="preserve">Conformément à l'article 8 de la loi n° 89-462, le locataire ne peut ni céder le présent contrat, ni sous-louer le logement, sans l'accord écrit du bailleur, portant à la fois sur le principe de la sous-location et sur le prix.</w:t>
      </w:r>
    </w:p>
    <w:p>
      <w:pPr>
        <w:jc w:val="both"/>
        <w:spacing w:after="106"/>
      </w:pPr>
      <w:r>
        <w:rPr>
          <w:rFonts w:ascii="Georgia" w:hAnsi="Georgia" w:cs="Georgia"/>
          <w:sz w:val="28"/>
          <w:sz-cs w:val="28"/>
          <w:spacing w:val="0"/>
          <w:color w:val="141414"/>
        </w:rPr>
        <w:t xml:space="preserve">Opposabilité au conjoint ou au partenaire de PACS non déclaré</w:t>
      </w:r>
    </w:p>
    <w:p>
      <w:pPr>
        <w:jc w:val="both"/>
        <w:spacing w:after="213"/>
      </w:pPr>
      <w:r>
        <w:rPr>
          <w:rFonts w:ascii="Georgia" w:hAnsi="Georgia" w:cs="Georgia"/>
          <w:sz w:val="28"/>
          <w:sz-cs w:val="28"/>
          <w:spacing w:val="0"/>
          <w:color w:val="141414"/>
        </w:rPr>
        <w:t xml:space="preserve">En application des articles 1751 et 515-4 du code civil, le présent contrat est de plein droit opposable au conjoint du locataire — cotitulaire légal du bail — et à son partenaire lié par un pacte civil de solidarité — solidaire des dettes de la vie courante, dont le loyer — même si leur existence n'a pas été portée à la connaissance du bailleur avant la signature.</w:t>
      </w:r>
    </w:p>
    <w:p>
      <w:pPr>
        <w:jc w:val="both"/>
        <w:spacing w:after="213"/>
      </w:pPr>
      <w:r>
        <w:rPr>
          <w:rFonts w:ascii="Georgia" w:hAnsi="Georgia" w:cs="Georgia"/>
          <w:sz w:val="28"/>
          <w:sz-cs w:val="28"/>
          <w:spacing w:val="0"/>
          <w:color w:val="141414"/>
        </w:rPr>
        <w:t xml:space="preserve">[…]</w:t>
      </w:r>
    </w:p>
    <w:p>
      <w:pPr>
        <w:spacing w:after="240"/>
      </w:pPr>
      <w:r>
        <w:rPr>
          <w:rFonts w:ascii="Helvetica Neue" w:hAnsi="Helvetica Neue" w:cs="Helvetica Neue"/>
          <w:sz w:val="30"/>
          <w:sz-cs w:val="30"/>
          <w:b/>
          <w:spacing w:val="0"/>
          <w:color w:val="141414"/>
        </w:rPr>
        <w:t xml:space="preserve">XI. Annexes</w:t>
      </w:r>
    </w:p>
    <w:p>
      <w:pPr>
        <w:jc w:val="both"/>
        <w:spacing w:after="213"/>
      </w:pPr>
      <w:r>
        <w:rPr>
          <w:rFonts w:ascii="Georgia" w:hAnsi="Georgia" w:cs="Georgia"/>
          <w:sz w:val="28"/>
          <w:sz-cs w:val="28"/>
          <w:spacing w:val="0"/>
          <w:color w:val="141414"/>
        </w:rPr>
        <w:t xml:space="preserve">Sont annexées et jointes au contrat de location les pièces suivantes :</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A.</w:t>
      </w:r>
      <w:r>
        <w:rPr>
          <w:rFonts w:ascii="Georgia" w:hAnsi="Georgia" w:cs="Georgia"/>
          <w:sz w:val="28"/>
          <w:sz-cs w:val="28"/>
          <w:spacing w:val="0"/>
          <w:color w:val="141414"/>
        </w:rPr>
        <w:t xml:space="preserve"> Le cas échéant, un extrait du règlement concernant la destination de l'immeuble, la jouissance et l'usage des parties privatives et communes, et précisant la quote-part afférente au lot loué dans chacune des catégories de charges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B.</w:t>
      </w:r>
      <w:r>
        <w:rPr>
          <w:rFonts w:ascii="Georgia" w:hAnsi="Georgia" w:cs="Georgia"/>
          <w:sz w:val="28"/>
          <w:sz-cs w:val="28"/>
          <w:spacing w:val="0"/>
          <w:color w:val="141414"/>
        </w:rPr>
        <w:t xml:space="preserve"> Un dossier de diagnostic technique comprenant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diagnostic de performance énergétique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un constat de risque d'exposition au plomb pour les immeubles construits avant le 1</w:t>
      </w:r>
      <w:r>
        <w:rPr>
          <w:rFonts w:ascii="Georgia" w:hAnsi="Georgia" w:cs="Georgia"/>
          <w:sz w:val="23"/>
          <w:sz-cs w:val="23"/>
          <w:vertAlign w:val="superscript"/>
          <w:spacing w:val="0"/>
          <w:color w:val="141414"/>
        </w:rPr>
        <w:t xml:space="preserve">er</w:t>
      </w:r>
      <w:r>
        <w:rPr>
          <w:rFonts w:ascii="Georgia" w:hAnsi="Georgia" w:cs="Georgia"/>
          <w:sz w:val="28"/>
          <w:sz-cs w:val="28"/>
          <w:spacing w:val="0"/>
          <w:color w:val="141414"/>
        </w:rPr>
        <w:t xml:space="preserve"> janvier 1949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une copie d'un état mentionnant l'absence ou la présence de matériaux ou de produits de la construction contenant de l'amiante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 état de l'installation intérieure d'électricité et de gaz, dont l'objet est d'évaluer les risques pouvant porter atteinte à la sécurité des personnes ;</w:t>
      </w:r>
    </w:p>
    <w:p>
      <w:pPr>
        <w:jc w:val="both"/>
        <w:ind w:left="480" w:first-line="-480"/>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le cas échéant, un état des risques naturels et technologiques pour le zones couvertes par un plan de prévention des risques technologiques ou par un plan de prévention des risques naturels prévisibles, prescrit ou approuvé, ou dans des zones de sismicité.</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C.</w:t>
      </w:r>
      <w:r>
        <w:rPr>
          <w:rFonts w:ascii="Georgia" w:hAnsi="Georgia" w:cs="Georgia"/>
          <w:sz w:val="28"/>
          <w:sz-cs w:val="28"/>
          <w:spacing w:val="0"/>
          <w:color w:val="141414"/>
        </w:rPr>
        <w:t xml:space="preserve"> Une notice d'information relative aux droits et obligations des locataires et des bailleurs</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D.</w:t>
      </w:r>
      <w:r>
        <w:rPr>
          <w:rFonts w:ascii="Georgia" w:hAnsi="Georgia" w:cs="Georgia"/>
          <w:sz w:val="28"/>
          <w:sz-cs w:val="28"/>
          <w:spacing w:val="0"/>
          <w:color w:val="141414"/>
        </w:rPr>
        <w:t xml:space="preserve"> Un état des lieux, un inventaire et un état détaillé du mobilier</w:t>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w:t>
      </w:r>
      <w:r>
        <w:rPr>
          <w:rFonts w:ascii="Georgia" w:hAnsi="Georgia" w:cs="Georgia"/>
          <w:sz w:val="28"/>
          <w:sz-cs w:val="28"/>
          <w:b/>
          <w:spacing w:val="0"/>
          <w:color w:val="141414"/>
        </w:rPr>
        <w:t xml:space="preserve">E.</w:t>
      </w:r>
      <w:r>
        <w:rPr>
          <w:rFonts w:ascii="Georgia" w:hAnsi="Georgia" w:cs="Georgia"/>
          <w:sz w:val="28"/>
          <w:sz-cs w:val="28"/>
          <w:spacing w:val="0"/>
          <w:color w:val="141414"/>
        </w:rPr>
        <w:t xml:space="preserve"> Le cas échéant, une autorisation préalable de mise en location</w:t>
      </w:r>
    </w:p>
    <w:p>
      <w:pPr>
        <w:jc w:val="both"/>
        <w:spacing w:after="106"/>
      </w:pPr>
      <w:r>
        <w:rPr>
          <w:rFonts w:ascii="Georgia" w:hAnsi="Georgia" w:cs="Georgia"/>
          <w:sz w:val="28"/>
          <w:sz-cs w:val="28"/>
          <w:i/>
          <w:spacing w:val="0"/>
          <w:color w:val="141414"/>
        </w:rPr>
        <w:t xml:space="preserve">Annexe complémentaire (hors liste réglementaire, jointe à titre pratique) :</w:t>
      </w:r>
      <w:r>
        <w:rPr>
          <w:rFonts w:ascii="Georgia" w:hAnsi="Georgia" w:cs="Georgia"/>
          <w:sz w:val="28"/>
          <w:sz-cs w:val="28"/>
          <w:spacing w:val="0"/>
          <w:color w:val="141414"/>
        </w:rPr>
        <w:t xml:space="preserve"/>
      </w:r>
    </w:p>
    <w:p>
      <w:pPr>
        <w:jc w:val="both"/>
        <w:spacing w:after="106"/>
      </w:pPr>
      <w:r>
        <w:rPr>
          <w:rFonts w:ascii="Arial" w:hAnsi="Arial" w:cs="Arial"/>
          <w:sz w:val="34"/>
          <w:sz-cs w:val="34"/>
          <w:position w:val="-4"/>
          <w:spacing w:val="0"/>
          <w:color w:val="141414"/>
        </w:rPr>
        <w:t xml:space="preserve">☐</w:t>
      </w:r>
      <w:r>
        <w:rPr>
          <w:rFonts w:ascii="Georgia" w:hAnsi="Georgia" w:cs="Georgia"/>
          <w:sz w:val="28"/>
          <w:sz-cs w:val="28"/>
          <w:spacing w:val="0"/>
          <w:color w:val="141414"/>
        </w:rPr>
        <w:t xml:space="preserve"> Grille de vétusté</w:t>
      </w:r>
    </w:p>
    <w:p>
      <w:pPr>
        <w:jc w:val="both"/>
        <w:spacing w:after="213"/>
      </w:pPr>
      <w:r>
        <w:rPr>
          <w:rFonts w:ascii="Georgia" w:hAnsi="Georgia" w:cs="Georgia"/>
          <w:sz w:val="26"/>
          <w:sz-cs w:val="26"/>
          <w:spacing w:val="0"/>
          <w:color w:val="141414"/>
        </w:rPr>
        <w:t xml:space="preserve">Fait à […], le […], en autant d'exemplaires originaux que de parties.</w:t>
      </w:r>
    </w:p>
    <w:p>
      <w:pPr/>
      <w:r>
        <w:rPr>
          <w:rFonts w:ascii="Helvetica Neue" w:hAnsi="Helvetica Neue" w:cs="Helvetica Neue"/>
          <w:sz w:val="22"/>
          <w:sz-cs w:val="22"/>
          <w:b/>
          <w:spacing w:val="0"/>
          <w:color w:val="775A2D"/>
        </w:rPr>
        <w:t xml:space="preserve">LE BAILLEUR</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t>
      </w:r>
      <w:r>
        <w:rPr>
          <w:rFonts w:ascii="Georgia" w:hAnsi="Georgia" w:cs="Georgia"/>
          <w:sz w:val="21"/>
          <w:sz-cs w:val="21"/>
          <w:spacing w:val="0"/>
          <w:color w:val="757575"/>
        </w:rPr>
        <w:t xml:space="preserve">(ou de son mandataire, le cas échéant)</w:t>
      </w:r>
      <w:r>
        <w:rPr>
          <w:rFonts w:ascii="Georgia" w:hAnsi="Georgia" w:cs="Georgia"/>
          <w:sz w:val="25"/>
          <w:sz-cs w:val="25"/>
          <w:spacing w:val="0"/>
          <w:color w:val="141414"/>
        </w:rPr>
        <w:t xml:space="preserve"/>
      </w:r>
    </w:p>
    <w:p>
      <w:pPr/>
      <w:r>
        <w:rPr>
          <w:rFonts w:ascii="Helvetica Neue" w:hAnsi="Helvetica Neue" w:cs="Helvetica Neue"/>
          <w:sz w:val="22"/>
          <w:sz-cs w:val="22"/>
          <w:b/>
          <w:spacing w:val="0"/>
          <w:color w:val="775A2D"/>
        </w:rPr>
        <w:t xml:space="preserve">LE LOCATAIRE</w:t>
      </w:r>
    </w:p>
    <w:p>
      <w:pPr/>
      <w:r>
        <w:rPr>
          <w:rFonts w:ascii="Georgia" w:hAnsi="Georgia" w:cs="Georgia"/>
          <w:sz w:val="25"/>
          <w:sz-cs w:val="25"/>
          <w:spacing w:val="0"/>
          <w:color w:val="141414"/>
        </w:rPr>
        <w:t xml:space="preserve">Le […], à […]</w:t>
      </w:r>
    </w:p>
    <w:p>
      <w:pPr/>
      <w:r>
        <w:rPr>
          <w:rFonts w:ascii="Georgia" w:hAnsi="Georgia" w:cs="Georgia"/>
          <w:sz w:val="25"/>
          <w:sz-cs w:val="25"/>
          <w:spacing w:val="0"/>
          <w:color w:val="141414"/>
        </w:rPr>
        <w:t xml:space="preserve"/>
      </w:r>
    </w:p>
    <w:p>
      <w:pPr/>
      <w:r>
        <w:rPr>
          <w:rFonts w:ascii="Georgia" w:hAnsi="Georgia" w:cs="Georgia"/>
          <w:sz w:val="25"/>
          <w:sz-cs w:val="25"/>
          <w:spacing w:val="0"/>
          <w:color w:val="141414"/>
        </w:rPr>
        <w:t xml:space="preserve"/>
      </w:r>
    </w:p>
    <w:p>
      <w:pPr/>
      <w:r>
        <w:rPr>
          <w:rFonts w:ascii="Georgia" w:hAnsi="Georgia" w:cs="Georgia"/>
          <w:sz w:val="25"/>
          <w:sz-cs w:val="25"/>
          <w:i/>
          <w:spacing w:val="0"/>
          <w:color w:val="141414"/>
        </w:rPr>
        <w:t xml:space="preserve">Signature</w:t>
      </w:r>
      <w:r>
        <w:rPr>
          <w:rFonts w:ascii="Georgia" w:hAnsi="Georgia" w:cs="Georgia"/>
          <w:sz w:val="25"/>
          <w:sz-cs w:val="25"/>
          <w:spacing w:val="0"/>
          <w:color w:val="141414"/>
        </w:rPr>
        <w:t xml:space="preserve"/>
      </w:r>
    </w:p>
    <w:p>
      <w:pPr>
        <w:jc w:val="both"/>
      </w:pPr>
      <w:r>
        <w:rPr>
          <w:rFonts w:ascii="Georgia" w:hAnsi="Georgia" w:cs="Georgia"/>
          <w:sz w:val="21"/>
          <w:sz-cs w:val="21"/>
          <w:b/>
          <w:spacing w:val="0"/>
          <w:color w:val="535353"/>
        </w:rPr>
        <w:t xml:space="preserve">Références.</w:t>
      </w:r>
      <w:r>
        <w:rPr>
          <w:rFonts w:ascii="Georgia" w:hAnsi="Georgia" w:cs="Georgia"/>
          <w:sz w:val="21"/>
          <w:sz-cs w:val="21"/>
          <w:spacing w:val="0"/>
          <w:color w:val="535353"/>
        </w:rPr>
        <w:t xml:space="preserve"> Loi n° 89-462 du 6 juillet 1989, articles 25-12 (public éligible), 25-13 (mentions obligatoires, absence de dépôt de garantie, solidarité réputée non écrite), 25-14 (durée et prorogation) · Décret n° 2015-981 du 31 juillet 2015 (mobilier) · Code civil, articles 1751 et 515-4.</w:t>
      </w:r>
    </w:p>
    <w:sectPr>
      <w:pgSz w:w="11906" w:h="16838"/>
      <w:pgMar w:top="1168" w:right="1242" w:bottom="850" w:left="1247" w:header="709" w:footer="400" w:gutter="0"/>
      <w:footerReference w:type="default" r:id="rIdFooter"/>
    </w:sectPr>
  </w:body>
</w:document>
</file>

<file path=word/footer1.xml><?xml version="1.0" encoding="utf-8"?>
<w:ftr xmlns:w="http://schemas.openxmlformats.org/wordprocessingml/2006/main">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