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spacing w:after="160"/>
      </w:pPr>
      <w:r>
        <w:rPr>
          <w:rFonts w:ascii="Helvetica Neue" w:hAnsi="Helvetica Neue" w:cs="Helvetica Neue"/>
          <w:sz w:val="48"/>
          <w:sz-cs w:val="48"/>
          <w:b/>
          <w:spacing w:val="0"/>
          <w:color w:val="141414"/>
        </w:rPr>
        <w:t xml:space="preserve">CONTRAT DE LOCATION</w:t>
      </w:r>
    </w:p>
    <w:p>
      <w:pPr>
        <w:jc w:val="center"/>
        <w:spacing w:after="213"/>
      </w:pPr>
      <w:r>
        <w:rPr>
          <w:rFonts w:ascii="Georgia" w:hAnsi="Georgia" w:cs="Georgia"/>
          <w:sz w:val="26"/>
          <w:sz-cs w:val="26"/>
          <w:i/>
          <w:spacing w:val="0"/>
          <w:color w:val="434343"/>
        </w:rPr>
        <w:t xml:space="preserve">Logement meublé à usage de résidence principale</w:t>
      </w:r>
    </w:p>
    <w:p>
      <w:pPr>
        <w:jc w:val="center"/>
      </w:pPr>
      <w:r>
        <w:rPr>
          <w:rFonts w:ascii="Georgia" w:hAnsi="Georgia" w:cs="Georgia"/>
          <w:sz w:val="28"/>
          <w:sz-cs w:val="28"/>
          <w:spacing w:val="0"/>
          <w:color w:val="6D6D6D"/>
        </w:rPr>
        <w:t xml:space="preserve"/>
      </w:r>
    </w:p>
    <w:p>
      <w:pPr>
        <w:jc w:val="both"/>
        <w:spacing w:after="106"/>
      </w:pPr>
      <w:r>
        <w:rPr>
          <w:rFonts w:ascii="Georgia" w:hAnsi="Georgia" w:cs="Georgia"/>
          <w:sz w:val="28"/>
          <w:sz-cs w:val="28"/>
          <w:spacing w:val="0"/>
          <w:color w:val="141414"/>
        </w:rPr>
        <w:t xml:space="preserve">Type de location : Location individuelle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Bail collectif de colocation (un seul contrat, tous les colocataires solidaires — §VII)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Location étudiante, durée 9 mois (art. 25-7)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spacing w:after="240"/>
      </w:pPr>
      <w:r>
        <w:rPr>
          <w:rFonts w:ascii="Helvetica Neue" w:hAnsi="Helvetica Neue" w:cs="Helvetica Neue"/>
          <w:sz w:val="30"/>
          <w:sz-cs w:val="30"/>
          <w:b/>
          <w:spacing w:val="0"/>
          <w:color w:val="141414"/>
        </w:rPr>
        <w:t xml:space="preserve">I. Désignation des parties</w:t>
      </w:r>
    </w:p>
    <w:p>
      <w:pPr>
        <w:jc w:val="both"/>
        <w:spacing w:after="213"/>
      </w:pPr>
      <w:r>
        <w:rPr>
          <w:rFonts w:ascii="Georgia" w:hAnsi="Georgia" w:cs="Georgia"/>
          <w:sz w:val="28"/>
          <w:sz-cs w:val="28"/>
          <w:spacing w:val="0"/>
          <w:color w:val="141414"/>
        </w:rPr>
        <w:t xml:space="preserve">Le présent contrat est conclu entre les soussignés :</w:t>
      </w:r>
    </w:p>
    <w:p>
      <w:pPr>
        <w:spacing w:after="133"/>
      </w:pPr>
      <w:r>
        <w:rPr>
          <w:rFonts w:ascii="Georgia" w:hAnsi="Georgia" w:cs="Georgia"/>
          <w:sz w:val="26"/>
          <w:sz-cs w:val="26"/>
          <w:i/>
          <w:spacing w:val="0"/>
          <w:color w:val="2C2C2C"/>
        </w:rPr>
        <w:t xml:space="preserve">Bailleur</w:t>
      </w:r>
    </w:p>
    <w:p>
      <w:pPr>
        <w:jc w:val="both"/>
        <w:spacing w:after="106"/>
      </w:pPr>
      <w:r>
        <w:rPr>
          <w:rFonts w:ascii="Georgia" w:hAnsi="Georgia" w:cs="Georgia"/>
          <w:sz w:val="28"/>
          <w:sz-cs w:val="28"/>
          <w:spacing w:val="0"/>
          <w:color w:val="141414"/>
        </w:rPr>
        <w:t xml:space="preserve">Nom et prénom, ou dénomination : […]</w:t>
      </w:r>
    </w:p>
    <w:p>
      <w:pPr>
        <w:jc w:val="both"/>
        <w:spacing w:after="106"/>
      </w:pPr>
      <w:r>
        <w:rPr>
          <w:rFonts w:ascii="Georgia" w:hAnsi="Georgia" w:cs="Georgia"/>
          <w:sz w:val="28"/>
          <w:sz-cs w:val="28"/>
          <w:spacing w:val="0"/>
          <w:color w:val="141414"/>
        </w:rPr>
        <w:t xml:space="preserve">Domicile ou siège social : […]</w:t>
      </w:r>
    </w:p>
    <w:p>
      <w:pPr>
        <w:jc w:val="both"/>
        <w:spacing w:after="106"/>
      </w:pPr>
      <w:r>
        <w:rPr>
          <w:rFonts w:ascii="Georgia" w:hAnsi="Georgia" w:cs="Georgia"/>
          <w:sz w:val="28"/>
          <w:sz-cs w:val="28"/>
          <w:spacing w:val="0"/>
          <w:color w:val="141414"/>
        </w:rPr>
        <w:t xml:space="preserve">Qualité : personne physique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personne morale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3"/>
          <w:sz-cs w:val="23"/>
          <w:vertAlign w:val="superscript"/>
          <w:spacing w:val="0"/>
          <w:color w:val="141414"/>
        </w:rPr>
        <w:t xml:space="preserve">(1)</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Numéro de téléphone portable (facultatif) : […]</w:t>
      </w:r>
    </w:p>
    <w:p>
      <w:pPr>
        <w:jc w:val="both"/>
        <w:spacing w:after="106"/>
      </w:pPr>
      <w:r>
        <w:rPr>
          <w:rFonts w:ascii="Georgia" w:hAnsi="Georgia" w:cs="Georgia"/>
          <w:sz w:val="28"/>
          <w:sz-cs w:val="28"/>
          <w:spacing w:val="0"/>
          <w:color w:val="141414"/>
        </w:rPr>
        <w:t xml:space="preserve">Adresse électronique (facultatif) : […]</w:t>
      </w:r>
    </w:p>
    <w:p>
      <w:pPr>
        <w:jc w:val="both"/>
        <w:spacing w:after="186"/>
      </w:pPr>
      <w:r>
        <w:rPr>
          <w:rFonts w:ascii="Georgia" w:hAnsi="Georgia" w:cs="Georgia"/>
          <w:sz w:val="24"/>
          <w:sz-cs w:val="24"/>
          <w:i/>
          <w:spacing w:val="0"/>
          <w:color w:val="434343"/>
        </w:rPr>
        <w:t xml:space="preserve">Désigné(s) ci-après « le bailleur ». </w:t>
      </w:r>
      <w:r>
        <w:rPr>
          <w:rFonts w:ascii="Georgia" w:hAnsi="Georgia" w:cs="Georgia"/>
          <w:sz w:val="20"/>
          <w:sz-cs w:val="20"/>
          <w:i/>
          <w:vertAlign w:val="superscript"/>
          <w:spacing w:val="0"/>
          <w:color w:val="434343"/>
        </w:rPr>
        <w:t xml:space="preserve">(2)</w:t>
      </w:r>
      <w:r>
        <w:rPr>
          <w:rFonts w:ascii="Georgia" w:hAnsi="Georgia" w:cs="Georgia"/>
          <w:sz w:val="24"/>
          <w:sz-cs w:val="24"/>
          <w:i/>
          <w:spacing w:val="0"/>
          <w:color w:val="434343"/>
        </w:rPr>
        <w:t xml:space="preserve"/>
      </w:r>
    </w:p>
    <w:p>
      <w:pPr>
        <w:spacing w:after="133"/>
      </w:pPr>
      <w:r>
        <w:rPr>
          <w:rFonts w:ascii="Georgia" w:hAnsi="Georgia" w:cs="Georgia"/>
          <w:sz w:val="26"/>
          <w:sz-cs w:val="26"/>
          <w:i/>
          <w:spacing w:val="0"/>
          <w:color w:val="2C2C2C"/>
        </w:rPr>
        <w:t xml:space="preserve">Le cas échéant, mandataire du bailleur</w:t>
      </w:r>
    </w:p>
    <w:p>
      <w:pPr>
        <w:jc w:val="both"/>
        <w:spacing w:after="106"/>
      </w:pPr>
      <w:r>
        <w:rPr>
          <w:rFonts w:ascii="Georgia" w:hAnsi="Georgia" w:cs="Georgia"/>
          <w:sz w:val="28"/>
          <w:sz-cs w:val="28"/>
          <w:spacing w:val="0"/>
          <w:color w:val="141414"/>
        </w:rPr>
        <w:t xml:space="preserve">Nom ou raison sociale et adresse : […]</w:t>
      </w:r>
    </w:p>
    <w:p>
      <w:pPr>
        <w:jc w:val="both"/>
        <w:spacing w:after="106"/>
      </w:pPr>
      <w:r>
        <w:rPr>
          <w:rFonts w:ascii="Georgia" w:hAnsi="Georgia" w:cs="Georgia"/>
          <w:sz w:val="28"/>
          <w:sz-cs w:val="28"/>
          <w:spacing w:val="0"/>
          <w:color w:val="141414"/>
        </w:rPr>
        <w:t xml:space="preserve">Activité exercée : […]</w:t>
      </w:r>
    </w:p>
    <w:p>
      <w:pPr>
        <w:jc w:val="both"/>
        <w:spacing w:after="106"/>
      </w:pPr>
      <w:r>
        <w:rPr>
          <w:rFonts w:ascii="Georgia" w:hAnsi="Georgia" w:cs="Georgia"/>
          <w:sz w:val="28"/>
          <w:sz-cs w:val="28"/>
          <w:spacing w:val="0"/>
          <w:color w:val="141414"/>
        </w:rPr>
        <w:t xml:space="preserve">Numéro et lieu de délivrance de la carte professionnelle : […] </w:t>
      </w:r>
      <w:r>
        <w:rPr>
          <w:rFonts w:ascii="Georgia" w:hAnsi="Georgia" w:cs="Georgia"/>
          <w:sz w:val="23"/>
          <w:sz-cs w:val="23"/>
          <w:vertAlign w:val="superscript"/>
          <w:spacing w:val="0"/>
          <w:color w:val="141414"/>
        </w:rPr>
        <w:t xml:space="preserve">(3)</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Nom et adresse du garant : […]</w:t>
      </w:r>
    </w:p>
    <w:p>
      <w:pPr>
        <w:spacing w:after="133"/>
      </w:pPr>
      <w:r>
        <w:rPr>
          <w:rFonts w:ascii="Georgia" w:hAnsi="Georgia" w:cs="Georgia"/>
          <w:sz w:val="26"/>
          <w:sz-cs w:val="26"/>
          <w:i/>
          <w:spacing w:val="0"/>
          <w:color w:val="2C2C2C"/>
        </w:rPr>
        <w:t xml:space="preserve">Locataire(s)</w:t>
      </w:r>
    </w:p>
    <w:p>
      <w:pPr>
        <w:jc w:val="both"/>
        <w:spacing w:after="106"/>
      </w:pPr>
      <w:r>
        <w:rPr>
          <w:rFonts w:ascii="Georgia" w:hAnsi="Georgia" w:cs="Georgia"/>
          <w:sz w:val="28"/>
          <w:sz-cs w:val="28"/>
          <w:spacing w:val="0"/>
          <w:color w:val="141414"/>
        </w:rPr>
        <w:t xml:space="preserve">Nom et prénom du ou des locataires ou, en cas de colocation, des colocataires : […]</w:t>
      </w:r>
    </w:p>
    <w:p>
      <w:pPr>
        <w:jc w:val="both"/>
        <w:spacing w:after="106"/>
      </w:pPr>
      <w:r>
        <w:rPr>
          <w:rFonts w:ascii="Georgia" w:hAnsi="Georgia" w:cs="Georgia"/>
          <w:sz w:val="28"/>
          <w:sz-cs w:val="28"/>
          <w:spacing w:val="0"/>
          <w:color w:val="141414"/>
        </w:rPr>
        <w:t xml:space="preserve">Numéro de téléphone portable (facultatif) : […]</w:t>
      </w:r>
    </w:p>
    <w:p>
      <w:pPr>
        <w:jc w:val="both"/>
        <w:spacing w:after="106"/>
      </w:pPr>
      <w:r>
        <w:rPr>
          <w:rFonts w:ascii="Georgia" w:hAnsi="Georgia" w:cs="Georgia"/>
          <w:sz w:val="28"/>
          <w:sz-cs w:val="28"/>
          <w:spacing w:val="0"/>
          <w:color w:val="141414"/>
        </w:rPr>
        <w:t xml:space="preserve">Adresse électronique (facultatif) : […]</w:t>
      </w:r>
    </w:p>
    <w:p>
      <w:pPr>
        <w:jc w:val="both"/>
        <w:spacing w:after="186"/>
      </w:pPr>
      <w:r>
        <w:rPr>
          <w:rFonts w:ascii="Georgia" w:hAnsi="Georgia" w:cs="Georgia"/>
          <w:sz w:val="24"/>
          <w:sz-cs w:val="24"/>
          <w:i/>
          <w:spacing w:val="0"/>
          <w:color w:val="434343"/>
        </w:rPr>
        <w:t xml:space="preserve">Désigné(s) ci-après « le locataire ».</w:t>
      </w:r>
    </w:p>
    <w:p>
      <w:pPr>
        <w:jc w:val="both"/>
        <w:spacing w:after="213"/>
      </w:pPr>
      <w:r>
        <w:rPr>
          <w:rFonts w:ascii="Georgia" w:hAnsi="Georgia" w:cs="Georgia"/>
          <w:sz w:val="28"/>
          <w:sz-cs w:val="28"/>
          <w:spacing w:val="0"/>
          <w:color w:val="141414"/>
        </w:rPr>
        <w:t xml:space="preserve">Il a été convenu ce qui suit :</w:t>
      </w:r>
    </w:p>
    <w:p>
      <w:pPr>
        <w:spacing w:after="240"/>
      </w:pPr>
      <w:r>
        <w:rPr>
          <w:rFonts w:ascii="Helvetica Neue" w:hAnsi="Helvetica Neue" w:cs="Helvetica Neue"/>
          <w:sz w:val="30"/>
          <w:sz-cs w:val="30"/>
          <w:b/>
          <w:spacing w:val="0"/>
          <w:color w:val="141414"/>
        </w:rPr>
        <w:t xml:space="preserve">II. Objet du contrat</w:t>
      </w:r>
    </w:p>
    <w:p>
      <w:pPr>
        <w:jc w:val="both"/>
        <w:spacing w:after="213"/>
      </w:pPr>
      <w:r>
        <w:rPr>
          <w:rFonts w:ascii="Georgia" w:hAnsi="Georgia" w:cs="Georgia"/>
          <w:sz w:val="28"/>
          <w:sz-cs w:val="28"/>
          <w:spacing w:val="0"/>
          <w:color w:val="141414"/>
        </w:rPr>
        <w:t xml:space="preserve">Le présent contrat a pour objet la location d'un logement ainsi déterminé :</w:t>
      </w:r>
    </w:p>
    <w:p>
      <w:pPr>
        <w:spacing w:after="160"/>
      </w:pPr>
      <w:r>
        <w:rPr>
          <w:rFonts w:ascii="Helvetica Neue" w:hAnsi="Helvetica Neue" w:cs="Helvetica Neue"/>
          <w:sz w:val="26"/>
          <w:sz-cs w:val="26"/>
          <w:b/>
          <w:spacing w:val="0"/>
          <w:color w:val="2C2C2C"/>
        </w:rPr>
        <w:t xml:space="preserve">A. Consistance du logement</w:t>
      </w:r>
    </w:p>
    <w:p>
      <w:pPr>
        <w:jc w:val="both"/>
        <w:spacing w:after="106"/>
      </w:pPr>
      <w:r>
        <w:rPr>
          <w:rFonts w:ascii="Georgia" w:hAnsi="Georgia" w:cs="Georgia"/>
          <w:sz w:val="28"/>
          <w:sz-cs w:val="28"/>
          <w:spacing w:val="0"/>
          <w:color w:val="141414"/>
        </w:rPr>
        <w:t xml:space="preserve">Localisation du logement : […]</w:t>
      </w:r>
    </w:p>
    <w:p>
      <w:pPr>
        <w:jc w:val="both"/>
        <w:spacing w:after="106"/>
      </w:pPr>
      <w:r>
        <w:rPr>
          <w:rFonts w:ascii="Georgia" w:hAnsi="Georgia" w:cs="Georgia"/>
          <w:sz w:val="28"/>
          <w:sz-cs w:val="28"/>
          <w:spacing w:val="0"/>
          <w:color w:val="141414"/>
        </w:rPr>
        <w:t xml:space="preserve">Identifiant fiscal du logement : […]</w:t>
      </w:r>
    </w:p>
    <w:p>
      <w:pPr>
        <w:jc w:val="both"/>
        <w:spacing w:after="106"/>
      </w:pPr>
      <w:r>
        <w:rPr>
          <w:rFonts w:ascii="Georgia" w:hAnsi="Georgia" w:cs="Georgia"/>
          <w:sz w:val="28"/>
          <w:sz-cs w:val="28"/>
          <w:spacing w:val="0"/>
          <w:color w:val="141414"/>
        </w:rPr>
        <w:t xml:space="preserve">Type d'habitat : immeuble collectif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individuel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Régime juridique de l'immeuble : monopropriété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copropriété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Période de construction : avant 1949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1949-1974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1975-1989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1989-2005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depuis 2005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Surface habitable : […] m²</w:t>
      </w:r>
    </w:p>
    <w:p>
      <w:pPr>
        <w:jc w:val="both"/>
        <w:spacing w:after="106"/>
      </w:pPr>
      <w:r>
        <w:rPr>
          <w:rFonts w:ascii="Georgia" w:hAnsi="Georgia" w:cs="Georgia"/>
          <w:sz w:val="28"/>
          <w:sz-cs w:val="28"/>
          <w:spacing w:val="0"/>
          <w:color w:val="141414"/>
        </w:rPr>
        <w:t xml:space="preserve">Nombre de pièces principales : […]</w:t>
      </w:r>
    </w:p>
    <w:p>
      <w:pPr>
        <w:jc w:val="both"/>
        <w:spacing w:after="106"/>
      </w:pPr>
      <w:r>
        <w:rPr>
          <w:rFonts w:ascii="Georgia" w:hAnsi="Georgia" w:cs="Georgia"/>
          <w:sz w:val="28"/>
          <w:sz-cs w:val="28"/>
          <w:spacing w:val="0"/>
          <w:color w:val="141414"/>
        </w:rPr>
        <w:t xml:space="preserve">Le cas échéant, autres parties du logement : […]</w:t>
      </w:r>
    </w:p>
    <w:p>
      <w:pPr>
        <w:jc w:val="both"/>
        <w:spacing w:after="186"/>
      </w:pPr>
      <w:r>
        <w:rPr>
          <w:rFonts w:ascii="Georgia" w:hAnsi="Georgia" w:cs="Georgia"/>
          <w:sz w:val="24"/>
          <w:sz-cs w:val="24"/>
          <w:i/>
          <w:spacing w:val="0"/>
          <w:color w:val="434343"/>
        </w:rPr>
        <w:t xml:space="preserve">Exemple : buanderie, dressing, sous-sol privatif.</w:t>
      </w:r>
    </w:p>
    <w:p>
      <w:pPr>
        <w:jc w:val="both"/>
        <w:spacing w:after="106"/>
      </w:pPr>
      <w:r>
        <w:rPr>
          <w:rFonts w:ascii="Georgia" w:hAnsi="Georgia" w:cs="Georgia"/>
          <w:sz w:val="28"/>
          <w:sz-cs w:val="28"/>
          <w:spacing w:val="0"/>
          <w:color w:val="141414"/>
        </w:rPr>
        <w:t xml:space="preserve">Le cas échéant, éléments d'équipements du logement : […]</w:t>
      </w:r>
    </w:p>
    <w:p>
      <w:pPr>
        <w:jc w:val="both"/>
        <w:spacing w:after="186"/>
      </w:pPr>
      <w:r>
        <w:rPr>
          <w:rFonts w:ascii="Georgia" w:hAnsi="Georgia" w:cs="Georgia"/>
          <w:sz w:val="24"/>
          <w:sz-cs w:val="24"/>
          <w:i/>
          <w:spacing w:val="0"/>
          <w:color w:val="434343"/>
        </w:rPr>
        <w:t xml:space="preserve">Exemple : climatisation, interphone, digicode, chauffe-eau électrique.</w:t>
      </w:r>
    </w:p>
    <w:p>
      <w:pPr>
        <w:jc w:val="both"/>
        <w:spacing w:after="106"/>
      </w:pPr>
      <w:r>
        <w:rPr>
          <w:rFonts w:ascii="Georgia" w:hAnsi="Georgia" w:cs="Georgia"/>
          <w:sz w:val="28"/>
          <w:sz-cs w:val="28"/>
          <w:spacing w:val="0"/>
          <w:color w:val="141414"/>
        </w:rPr>
        <w:t xml:space="preserve">Modalité de production de chauffage : individuel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collectif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3"/>
          <w:sz-cs w:val="23"/>
          <w:vertAlign w:val="superscript"/>
          <w:spacing w:val="0"/>
          <w:color w:val="141414"/>
        </w:rPr>
        <w:t xml:space="preserve">(4)</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Modalité de production d'eau chaude sanitaire : individuelle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collective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3"/>
          <w:sz-cs w:val="23"/>
          <w:vertAlign w:val="superscript"/>
          <w:spacing w:val="0"/>
          <w:color w:val="141414"/>
        </w:rPr>
        <w:t xml:space="preserve">(5)</w:t>
      </w:r>
      <w:r>
        <w:rPr>
          <w:rFonts w:ascii="Georgia" w:hAnsi="Georgia" w:cs="Georgia"/>
          <w:sz w:val="28"/>
          <w:sz-cs w:val="28"/>
          <w:spacing w:val="0"/>
          <w:color w:val="141414"/>
        </w:rPr>
        <w:t xml:space="preserve"/>
      </w:r>
    </w:p>
    <w:p>
      <w:pPr>
        <w:jc w:val="both"/>
        <w:spacing w:after="213"/>
      </w:pPr>
      <w:r>
        <w:rPr>
          <w:rFonts w:ascii="Georgia" w:hAnsi="Georgia" w:cs="Georgia"/>
          <w:sz w:val="28"/>
          <w:sz-cs w:val="28"/>
          <w:spacing w:val="0"/>
          <w:color w:val="141414"/>
        </w:rPr>
        <w:t xml:space="preserve">Rappel : un logement décent doit respecter les critères minimaux de performance suivants :</w:t>
      </w:r>
    </w:p>
    <w:p>
      <w:pPr>
        <w:jc w:val="both"/>
        <w:ind w:left="480" w:first-line="-480"/>
        <w:spacing w:after="106"/>
      </w:pPr>
      <w:r>
        <w:rPr>
          <w:rFonts w:ascii="Georgia" w:hAnsi="Georgia" w:cs="Georgia"/>
          <w:sz w:val="28"/>
          <w:sz-cs w:val="28"/>
          <w:i/>
          <w:spacing w:val="0"/>
          <w:color w:val="141414"/>
        </w:rPr>
        <w:t xml:space="preserve">a) En France métropolitaine :</w:t>
      </w:r>
      <w:r>
        <w:rPr>
          <w:rFonts w:ascii="Georgia" w:hAnsi="Georgia" w:cs="Georgia"/>
          <w:sz w:val="28"/>
          <w:sz-cs w:val="28"/>
          <w:spacing w:val="0"/>
          <w:color w:val="141414"/>
        </w:rPr>
        <w:t xml:space="preserve"/>
      </w:r>
    </w:p>
    <w:p>
      <w:pPr>
        <w:jc w:val="both"/>
        <w:ind w:left="960" w:first-line="-960"/>
        <w:spacing w:after="106"/>
      </w:pPr>
      <w:r>
        <w:rPr>
          <w:rFonts w:ascii="Georgia" w:hAnsi="Georgia" w:cs="Georgia"/>
          <w:sz w:val="28"/>
          <w:sz-cs w:val="28"/>
          <w:spacing w:val="0"/>
          <w:color w:val="141414"/>
        </w:rPr>
        <w:t xml:space="preserve">i) A compter du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2025, le niveau de performance minimal correspond à la classe F du DPE ;</w:t>
      </w:r>
    </w:p>
    <w:p>
      <w:pPr>
        <w:jc w:val="both"/>
        <w:ind w:left="960" w:first-line="-960"/>
        <w:spacing w:after="106"/>
      </w:pPr>
      <w:r>
        <w:rPr>
          <w:rFonts w:ascii="Georgia" w:hAnsi="Georgia" w:cs="Georgia"/>
          <w:sz w:val="28"/>
          <w:sz-cs w:val="28"/>
          <w:spacing w:val="0"/>
          <w:color w:val="141414"/>
        </w:rPr>
        <w:t xml:space="preserve">ii) A compter du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2028, le niveau de performance minimal correspond à la classe E du DPE ;</w:t>
      </w:r>
    </w:p>
    <w:p>
      <w:pPr>
        <w:jc w:val="both"/>
        <w:ind w:left="960" w:first-line="-960"/>
        <w:spacing w:after="106"/>
      </w:pPr>
      <w:r>
        <w:rPr>
          <w:rFonts w:ascii="Georgia" w:hAnsi="Georgia" w:cs="Georgia"/>
          <w:sz w:val="28"/>
          <w:sz-cs w:val="28"/>
          <w:spacing w:val="0"/>
          <w:color w:val="141414"/>
        </w:rPr>
        <w:t xml:space="preserve">iii) A compter du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2034, le niveau de performance minimal correspond à la classe D du DPE.</w:t>
      </w:r>
    </w:p>
    <w:p>
      <w:pPr>
        <w:jc w:val="both"/>
        <w:ind w:left="480" w:first-line="-480"/>
        <w:spacing w:after="106"/>
      </w:pPr>
      <w:r>
        <w:rPr>
          <w:rFonts w:ascii="Georgia" w:hAnsi="Georgia" w:cs="Georgia"/>
          <w:sz w:val="28"/>
          <w:sz-cs w:val="28"/>
          <w:i/>
          <w:spacing w:val="0"/>
          <w:color w:val="141414"/>
        </w:rPr>
        <w:t xml:space="preserve">b) En Guadeloupe, en Martinique, en Guyane, à La Réunion et à Mayotte :</w:t>
      </w:r>
      <w:r>
        <w:rPr>
          <w:rFonts w:ascii="Georgia" w:hAnsi="Georgia" w:cs="Georgia"/>
          <w:sz w:val="28"/>
          <w:sz-cs w:val="28"/>
          <w:spacing w:val="0"/>
          <w:color w:val="141414"/>
        </w:rPr>
        <w:t xml:space="preserve"/>
      </w:r>
    </w:p>
    <w:p>
      <w:pPr>
        <w:jc w:val="both"/>
        <w:ind w:left="960" w:first-line="-960"/>
        <w:spacing w:after="106"/>
      </w:pPr>
      <w:r>
        <w:rPr>
          <w:rFonts w:ascii="Georgia" w:hAnsi="Georgia" w:cs="Georgia"/>
          <w:sz w:val="28"/>
          <w:sz-cs w:val="28"/>
          <w:spacing w:val="0"/>
          <w:color w:val="141414"/>
        </w:rPr>
        <w:t xml:space="preserve">i) A compter du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2028, le niveau de performance minimal du logement correspond à la classe F du DPE ;</w:t>
      </w:r>
    </w:p>
    <w:p>
      <w:pPr>
        <w:jc w:val="both"/>
        <w:ind w:left="960" w:first-line="-960"/>
        <w:spacing w:after="106"/>
      </w:pPr>
      <w:r>
        <w:rPr>
          <w:rFonts w:ascii="Georgia" w:hAnsi="Georgia" w:cs="Georgia"/>
          <w:sz w:val="28"/>
          <w:sz-cs w:val="28"/>
          <w:spacing w:val="0"/>
          <w:color w:val="141414"/>
        </w:rPr>
        <w:t xml:space="preserve">ii) A compter du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2031, le niveau de performance minimal du logement correspond à la classe E du DPE.</w:t>
      </w:r>
    </w:p>
    <w:p>
      <w:pPr>
        <w:jc w:val="both"/>
        <w:spacing w:after="213"/>
      </w:pPr>
      <w:r>
        <w:rPr>
          <w:rFonts w:ascii="Georgia" w:hAnsi="Georgia" w:cs="Georgia"/>
          <w:sz w:val="28"/>
          <w:sz-cs w:val="28"/>
          <w:spacing w:val="0"/>
          <w:color w:val="141414"/>
        </w:rPr>
        <w:t xml:space="preserve">La consommation d'énergie finale et le niveau de performance du logement sont déterminés selon la méthode du diagnostic de performance énergétique mentionné à l'article L. 126-26 du code de la construction et de l'habitation.</w:t>
      </w:r>
    </w:p>
    <w:p>
      <w:pPr>
        <w:jc w:val="both"/>
        <w:spacing w:after="106"/>
      </w:pPr>
      <w:r>
        <w:rPr>
          <w:rFonts w:ascii="Georgia" w:hAnsi="Georgia" w:cs="Georgia"/>
          <w:sz w:val="28"/>
          <w:sz-cs w:val="28"/>
          <w:spacing w:val="0"/>
          <w:color w:val="141414"/>
        </w:rPr>
        <w:t xml:space="preserve">Niveau de performance du logement : […]</w:t>
      </w:r>
    </w:p>
    <w:p>
      <w:pPr>
        <w:spacing w:after="160"/>
      </w:pPr>
      <w:r>
        <w:rPr>
          <w:rFonts w:ascii="Helvetica Neue" w:hAnsi="Helvetica Neue" w:cs="Helvetica Neue"/>
          <w:sz w:val="26"/>
          <w:sz-cs w:val="26"/>
          <w:b/>
          <w:spacing w:val="0"/>
          <w:color w:val="2C2C2C"/>
        </w:rPr>
        <w:t xml:space="preserve">B. Destination des locaux</w:t>
      </w:r>
    </w:p>
    <w:p>
      <w:pPr>
        <w:jc w:val="both"/>
        <w:spacing w:after="106"/>
      </w:pPr>
      <w:r>
        <w:rPr>
          <w:rFonts w:ascii="Georgia" w:hAnsi="Georgia" w:cs="Georgia"/>
          <w:sz w:val="28"/>
          <w:sz-cs w:val="28"/>
          <w:spacing w:val="0"/>
          <w:color w:val="141414"/>
        </w:rPr>
        <w:t xml:space="preserve">Usage d'habitation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Usage mixte professionnel et d'habitation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213"/>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Servitude de résidence principale : le logement objet du présent contrat est soumis à l'obligation prévue à l'article L. 151-14-1 du code de l'urbanisme ; il est à usage exclusif de résidence principale, au sens de l'article 2 de la loi du 6 juillet 1989 susmentionnée.</w:t>
      </w:r>
    </w:p>
    <w:p>
      <w:pPr>
        <w:spacing w:after="160"/>
      </w:pPr>
      <w:r>
        <w:rPr>
          <w:rFonts w:ascii="Helvetica Neue" w:hAnsi="Helvetica Neue" w:cs="Helvetica Neue"/>
          <w:sz w:val="26"/>
          <w:sz-cs w:val="26"/>
          <w:b/>
          <w:spacing w:val="0"/>
          <w:color w:val="2C2C2C"/>
        </w:rPr>
        <w:t xml:space="preserve">C. Le cas échéant, désignation des locaux et équipements accessoires de l'immeuble à usage privatif du locataire</w:t>
      </w:r>
    </w:p>
    <w:p>
      <w:pPr>
        <w:jc w:val="both"/>
        <w:spacing w:after="213"/>
      </w:pPr>
      <w:r>
        <w:rPr>
          <w:rFonts w:ascii="Georgia" w:hAnsi="Georgia" w:cs="Georgia"/>
          <w:sz w:val="28"/>
          <w:sz-cs w:val="28"/>
          <w:spacing w:val="0"/>
          <w:color w:val="141414"/>
        </w:rPr>
        <w:t xml:space="preserve">[…]</w:t>
      </w:r>
    </w:p>
    <w:p>
      <w:pPr>
        <w:jc w:val="both"/>
        <w:spacing w:after="186"/>
      </w:pPr>
      <w:r>
        <w:rPr>
          <w:rFonts w:ascii="Georgia" w:hAnsi="Georgia" w:cs="Georgia"/>
          <w:sz w:val="24"/>
          <w:sz-cs w:val="24"/>
          <w:i/>
          <w:spacing w:val="0"/>
          <w:color w:val="434343"/>
        </w:rPr>
        <w:t xml:space="preserve">Exemples : cave, parking, garage, box, cellier, jardin privatif, terrasse, place de stationnement, local à vélo privatif.</w:t>
      </w:r>
    </w:p>
    <w:p>
      <w:pPr>
        <w:spacing w:after="160"/>
      </w:pPr>
      <w:r>
        <w:rPr>
          <w:rFonts w:ascii="Helvetica Neue" w:hAnsi="Helvetica Neue" w:cs="Helvetica Neue"/>
          <w:sz w:val="26"/>
          <w:sz-cs w:val="26"/>
          <w:b/>
          <w:spacing w:val="0"/>
          <w:color w:val="2C2C2C"/>
        </w:rPr>
        <w:t xml:space="preserve">D. Le cas échéant, énumération des locaux, parties, équipements et accessoires de l'immeuble à usage commun</w:t>
      </w:r>
    </w:p>
    <w:p>
      <w:pPr>
        <w:jc w:val="both"/>
        <w:spacing w:after="213"/>
      </w:pPr>
      <w:r>
        <w:rPr>
          <w:rFonts w:ascii="Georgia" w:hAnsi="Georgia" w:cs="Georgia"/>
          <w:sz w:val="28"/>
          <w:sz-cs w:val="28"/>
          <w:spacing w:val="0"/>
          <w:color w:val="141414"/>
        </w:rPr>
        <w:t xml:space="preserve">[…]</w:t>
      </w:r>
    </w:p>
    <w:p>
      <w:pPr>
        <w:jc w:val="both"/>
        <w:spacing w:after="186"/>
      </w:pPr>
      <w:r>
        <w:rPr>
          <w:rFonts w:ascii="Georgia" w:hAnsi="Georgia" w:cs="Georgia"/>
          <w:sz w:val="24"/>
          <w:sz-cs w:val="24"/>
          <w:i/>
          <w:spacing w:val="0"/>
          <w:color w:val="434343"/>
        </w:rPr>
        <w:t xml:space="preserve">Exemples : garage à vélo, ascenseur, espaces verts, aires et équipements de jeux, laverie, local poubelle, gardiennage, autres prestations et services collectifs.</w:t>
      </w:r>
    </w:p>
    <w:p>
      <w:pPr>
        <w:spacing w:after="160"/>
      </w:pPr>
      <w:r>
        <w:rPr>
          <w:rFonts w:ascii="Helvetica Neue" w:hAnsi="Helvetica Neue" w:cs="Helvetica Neue"/>
          <w:sz w:val="26"/>
          <w:sz-cs w:val="26"/>
          <w:b/>
          <w:spacing w:val="0"/>
          <w:color w:val="2C2C2C"/>
        </w:rPr>
        <w:t xml:space="preserve">E. Le cas échéant, équipement d'accès aux technologies de l'information et de la communication</w:t>
      </w:r>
    </w:p>
    <w:p>
      <w:pPr>
        <w:jc w:val="both"/>
        <w:spacing w:after="213"/>
      </w:pPr>
      <w:r>
        <w:rPr>
          <w:rFonts w:ascii="Georgia" w:hAnsi="Georgia" w:cs="Georgia"/>
          <w:sz w:val="28"/>
          <w:sz-cs w:val="28"/>
          <w:spacing w:val="0"/>
          <w:color w:val="141414"/>
        </w:rPr>
        <w:t xml:space="preserve">[…]</w:t>
      </w:r>
    </w:p>
    <w:p>
      <w:pPr>
        <w:jc w:val="both"/>
        <w:spacing w:after="186"/>
      </w:pPr>
      <w:r>
        <w:rPr>
          <w:rFonts w:ascii="Georgia" w:hAnsi="Georgia" w:cs="Georgia"/>
          <w:sz w:val="24"/>
          <w:sz-cs w:val="24"/>
          <w:i/>
          <w:spacing w:val="0"/>
          <w:color w:val="434343"/>
        </w:rPr>
        <w:t xml:space="preserve">Exemples : modalités de réception de la télévision dans l'immeuble (antenne collective, satellite, TNT), modalités de raccordement internet (fibre, ADSL, câble), prises de communication.</w:t>
      </w:r>
    </w:p>
    <w:p>
      <w:pPr>
        <w:spacing w:after="240"/>
      </w:pPr>
      <w:r>
        <w:rPr>
          <w:rFonts w:ascii="Helvetica Neue" w:hAnsi="Helvetica Neue" w:cs="Helvetica Neue"/>
          <w:sz w:val="30"/>
          <w:sz-cs w:val="30"/>
          <w:b/>
          <w:spacing w:val="0"/>
          <w:color w:val="141414"/>
        </w:rPr>
        <w:t xml:space="preserve">III. Date de prise d'effet et durée du contrat</w:t>
      </w:r>
    </w:p>
    <w:p>
      <w:pPr>
        <w:jc w:val="both"/>
        <w:spacing w:after="213"/>
      </w:pPr>
      <w:r>
        <w:rPr>
          <w:rFonts w:ascii="Georgia" w:hAnsi="Georgia" w:cs="Georgia"/>
          <w:sz w:val="28"/>
          <w:sz-cs w:val="28"/>
          <w:spacing w:val="0"/>
          <w:color w:val="141414"/>
        </w:rPr>
        <w:t xml:space="preserve">La durée du contrat et sa date de prise d'effet sont ainsi définies :</w:t>
      </w:r>
    </w:p>
    <w:p>
      <w:pPr>
        <w:spacing w:after="160"/>
      </w:pPr>
      <w:r>
        <w:rPr>
          <w:rFonts w:ascii="Helvetica Neue" w:hAnsi="Helvetica Neue" w:cs="Helvetica Neue"/>
          <w:sz w:val="26"/>
          <w:sz-cs w:val="26"/>
          <w:b/>
          <w:spacing w:val="0"/>
          <w:color w:val="2C2C2C"/>
        </w:rPr>
        <w:t xml:space="preserve">A. Date de prise d'effet du contrat</w:t>
      </w:r>
    </w:p>
    <w:p>
      <w:pPr>
        <w:jc w:val="both"/>
        <w:spacing w:after="106"/>
      </w:pPr>
      <w:r>
        <w:rPr>
          <w:rFonts w:ascii="Georgia" w:hAnsi="Georgia" w:cs="Georgia"/>
          <w:sz w:val="28"/>
          <w:sz-cs w:val="28"/>
          <w:spacing w:val="0"/>
          <w:color w:val="141414"/>
        </w:rPr>
        <w:t xml:space="preserve">[…]</w:t>
      </w:r>
    </w:p>
    <w:p>
      <w:pPr>
        <w:spacing w:after="160"/>
      </w:pPr>
      <w:r>
        <w:rPr>
          <w:rFonts w:ascii="Helvetica Neue" w:hAnsi="Helvetica Neue" w:cs="Helvetica Neue"/>
          <w:sz w:val="26"/>
          <w:sz-cs w:val="26"/>
          <w:b/>
          <w:spacing w:val="0"/>
          <w:color w:val="2C2C2C"/>
        </w:rPr>
        <w:t xml:space="preserve">B. Durée du contrat</w:t>
      </w:r>
    </w:p>
    <w:p>
      <w:pPr>
        <w:jc w:val="both"/>
        <w:spacing w:after="106"/>
      </w:pPr>
      <w:r>
        <w:rPr>
          <w:rFonts w:ascii="Georgia" w:hAnsi="Georgia" w:cs="Georgia"/>
          <w:sz w:val="28"/>
          <w:sz-cs w:val="28"/>
          <w:spacing w:val="0"/>
          <w:color w:val="141414"/>
        </w:rPr>
        <w:t xml:space="preserve">Durée retenue : […] </w:t>
      </w:r>
      <w:r>
        <w:rPr>
          <w:rFonts w:ascii="Georgia" w:hAnsi="Georgia" w:cs="Georgia"/>
          <w:sz w:val="28"/>
          <w:sz-cs w:val="28"/>
          <w:i/>
          <w:spacing w:val="0"/>
          <w:color w:val="141414"/>
        </w:rPr>
        <w:t xml:space="preserve">(1 an, tacite reconduction — ou 9 mois si case « étudiante » cochée)</w:t>
      </w:r>
      <w:r>
        <w:rPr>
          <w:rFonts w:ascii="Georgia" w:hAnsi="Georgia" w:cs="Georgia"/>
          <w:sz w:val="28"/>
          <w:sz-cs w:val="28"/>
          <w:spacing w:val="0"/>
          <w:color w:val="141414"/>
        </w:rPr>
        <w:t xml:space="preserve"/>
      </w:r>
    </w:p>
    <w:p>
      <w:pPr>
        <w:jc w:val="both"/>
        <w:spacing w:after="213"/>
      </w:pPr>
      <w:r>
        <w:rPr>
          <w:rFonts w:ascii="Georgia" w:hAnsi="Georgia" w:cs="Georgia"/>
          <w:sz w:val="28"/>
          <w:sz-cs w:val="28"/>
          <w:spacing w:val="0"/>
          <w:color w:val="141414"/>
        </w:rPr>
        <w:t xml:space="preserve">A l'exception des locations consenties à un étudiant pour une durée de neuf mois, les contrats de location de logements meublés sont reconduits tacitement à leur terme pour une durée d'un an et dans les mêmes conditions. Le locataire peut mettre fin au bail à tout moment, après avoir donné congé. Le bailleur peut, quant à lui, mettre fin au bail à son échéance et après avoir donné congé, soit pour reprendre le logement en vue de l'occuper lui-même ou une personne de sa famille, soit pour le vendre, soit pour un motif sérieux et légitime.</w:t>
      </w:r>
    </w:p>
    <w:p>
      <w:pPr>
        <w:jc w:val="both"/>
        <w:spacing w:after="213"/>
      </w:pPr>
      <w:r>
        <w:rPr>
          <w:rFonts w:ascii="Georgia" w:hAnsi="Georgia" w:cs="Georgia"/>
          <w:sz w:val="28"/>
          <w:sz-cs w:val="28"/>
          <w:spacing w:val="0"/>
          <w:color w:val="141414"/>
        </w:rPr>
        <w:t xml:space="preserve">Les contrats de locations meublées consenties à un étudiant pour une durée de neuf mois ne sont pas reconduits tacitement à leur terme et le locataire peut mettre fin au bail à tout moment, après avoir donné congé. Le bailleur peut, quant à lui, mettre fin au bail à son échéance et après avoir donné congé.</w:t>
      </w:r>
    </w:p>
    <w:p>
      <w:pPr>
        <w:spacing w:after="240"/>
      </w:pPr>
      <w:r>
        <w:rPr>
          <w:rFonts w:ascii="Helvetica Neue" w:hAnsi="Helvetica Neue" w:cs="Helvetica Neue"/>
          <w:sz w:val="30"/>
          <w:sz-cs w:val="30"/>
          <w:b/>
          <w:spacing w:val="0"/>
          <w:color w:val="141414"/>
        </w:rPr>
        <w:t xml:space="preserve">IV. Conditions financières</w:t>
      </w:r>
    </w:p>
    <w:p>
      <w:pPr>
        <w:jc w:val="both"/>
        <w:spacing w:after="213"/>
      </w:pPr>
      <w:r>
        <w:rPr>
          <w:rFonts w:ascii="Georgia" w:hAnsi="Georgia" w:cs="Georgia"/>
          <w:sz w:val="28"/>
          <w:sz-cs w:val="28"/>
          <w:spacing w:val="0"/>
          <w:color w:val="141414"/>
        </w:rPr>
        <w:t xml:space="preserve">Les parties conviennent des conditions financières suivantes :</w:t>
      </w:r>
    </w:p>
    <w:p>
      <w:pPr>
        <w:spacing w:after="160"/>
      </w:pPr>
      <w:r>
        <w:rPr>
          <w:rFonts w:ascii="Helvetica Neue" w:hAnsi="Helvetica Neue" w:cs="Helvetica Neue"/>
          <w:sz w:val="26"/>
          <w:sz-cs w:val="26"/>
          <w:b/>
          <w:spacing w:val="0"/>
          <w:color w:val="2C2C2C"/>
        </w:rPr>
        <w:t xml:space="preserve">A. Loyer</w:t>
      </w:r>
    </w:p>
    <w:p>
      <w:pPr>
        <w:spacing w:after="133"/>
      </w:pPr>
      <w:r>
        <w:rPr>
          <w:rFonts w:ascii="Georgia" w:hAnsi="Georgia" w:cs="Georgia"/>
          <w:sz w:val="26"/>
          <w:sz-cs w:val="26"/>
          <w:i/>
          <w:spacing w:val="0"/>
          <w:color w:val="2C2C2C"/>
        </w:rPr>
        <w:t xml:space="preserve">1° Fixation du loyer initial</w:t>
      </w:r>
    </w:p>
    <w:p>
      <w:pPr>
        <w:jc w:val="both"/>
        <w:ind w:left="480" w:first-line="-480"/>
        <w:spacing w:after="106"/>
      </w:pPr>
      <w:r>
        <w:rPr>
          <w:rFonts w:ascii="Georgia" w:hAnsi="Georgia" w:cs="Georgia"/>
          <w:sz w:val="28"/>
          <w:sz-cs w:val="28"/>
          <w:spacing w:val="0"/>
          <w:color w:val="141414"/>
        </w:rPr>
        <w:t xml:space="preserve">a) Montant du loyer mensuel : […] € </w:t>
      </w:r>
      <w:r>
        <w:rPr>
          <w:rFonts w:ascii="Georgia" w:hAnsi="Georgia" w:cs="Georgia"/>
          <w:sz w:val="23"/>
          <w:sz-cs w:val="23"/>
          <w:vertAlign w:val="superscript"/>
          <w:spacing w:val="0"/>
          <w:color w:val="141414"/>
        </w:rPr>
        <w:t xml:space="preserve">(6)</w:t>
      </w:r>
      <w:r>
        <w:rPr>
          <w:rFonts w:ascii="Georgia" w:hAnsi="Georgia" w:cs="Georgia"/>
          <w:sz w:val="28"/>
          <w:sz-cs w:val="28"/>
          <w:spacing w:val="0"/>
          <w:color w:val="141414"/>
        </w:rPr>
        <w:t xml:space="preserve"/>
      </w:r>
    </w:p>
    <w:p>
      <w:pPr>
        <w:jc w:val="both"/>
        <w:ind w:left="480" w:first-line="-480"/>
        <w:spacing w:after="106"/>
      </w:pPr>
      <w:r>
        <w:rPr>
          <w:rFonts w:ascii="Georgia" w:hAnsi="Georgia" w:cs="Georgia"/>
          <w:sz w:val="28"/>
          <w:sz-cs w:val="28"/>
          <w:spacing w:val="0"/>
          <w:color w:val="141414"/>
        </w:rPr>
        <w:t xml:space="preserve">b) </w:t>
      </w: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modalités particulières de fixation initiale du loyer applicables dans certaines zones tendues </w:t>
      </w:r>
      <w:r>
        <w:rPr>
          <w:rFonts w:ascii="Georgia" w:hAnsi="Georgia" w:cs="Georgia"/>
          <w:sz w:val="23"/>
          <w:sz-cs w:val="23"/>
          <w:vertAlign w:val="superscript"/>
          <w:spacing w:val="0"/>
          <w:color w:val="141414"/>
        </w:rPr>
        <w:t xml:space="preserve">(7)</w:t>
      </w:r>
      <w:r>
        <w:rPr>
          <w:rFonts w:ascii="Georgia" w:hAnsi="Georgia" w:cs="Georgia"/>
          <w:sz w:val="28"/>
          <w:sz-cs w:val="28"/>
          <w:spacing w:val="0"/>
          <w:color w:val="141414"/>
        </w:rPr>
        <w:t xml:space="preserve"> :</w:t>
      </w:r>
    </w:p>
    <w:p>
      <w:pPr>
        <w:jc w:val="both"/>
        <w:ind w:left="960" w:first-line="-960"/>
        <w:spacing w:after="106"/>
      </w:pPr>
      <w:r>
        <w:rPr>
          <w:rFonts w:ascii="Georgia" w:hAnsi="Georgia" w:cs="Georgia"/>
          <w:sz w:val="28"/>
          <w:sz-cs w:val="28"/>
          <w:spacing w:val="0"/>
          <w:color w:val="141414"/>
        </w:rPr>
        <w:t xml:space="preserve">Le loyer du logement objet du présent contrat est soumis au décret fixant annuellement le montant maximum d'évolution des loyers à la relocation : Oui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Non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ind w:left="960" w:first-line="-960"/>
        <w:spacing w:after="106"/>
      </w:pPr>
      <w:r>
        <w:rPr>
          <w:rFonts w:ascii="Georgia" w:hAnsi="Georgia" w:cs="Georgia"/>
          <w:sz w:val="28"/>
          <w:sz-cs w:val="28"/>
          <w:spacing w:val="0"/>
          <w:color w:val="141414"/>
        </w:rPr>
        <w:t xml:space="preserve">Le loyer du logement objet du présent contrat est soumis au loyer de référence majoré fixé par arrêté préfectoral : Oui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Non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ind w:left="960" w:first-line="-960"/>
        <w:spacing w:after="106"/>
      </w:pPr>
      <w:r>
        <w:rPr>
          <w:rFonts w:ascii="Georgia" w:hAnsi="Georgia" w:cs="Georgia"/>
          <w:sz w:val="28"/>
          <w:sz-cs w:val="28"/>
          <w:spacing w:val="0"/>
          <w:color w:val="141414"/>
        </w:rPr>
        <w:t xml:space="preserve">Montant du loyer de référence : […] €/m² — Montant du loyer de référence majoré : […] €/m²</w:t>
      </w:r>
    </w:p>
    <w:p>
      <w:pPr>
        <w:jc w:val="both"/>
        <w:ind w:left="960" w:first-line="-960"/>
        <w:spacing w:after="106"/>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complément de loyer : montant du loyer de base […] € — montant du complément de loyer […] € — caractéristiques du logement le justifiant : […]</w:t>
      </w:r>
    </w:p>
    <w:p>
      <w:pPr>
        <w:jc w:val="both"/>
        <w:ind w:left="480" w:first-line="-480"/>
        <w:spacing w:after="106"/>
      </w:pPr>
      <w:r>
        <w:rPr>
          <w:rFonts w:ascii="Georgia" w:hAnsi="Georgia" w:cs="Georgia"/>
          <w:sz w:val="28"/>
          <w:sz-cs w:val="28"/>
          <w:spacing w:val="0"/>
          <w:color w:val="141414"/>
        </w:rPr>
        <w:t xml:space="preserve">c) </w:t>
      </w: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informations relatives au loyer du dernier locataire </w:t>
      </w:r>
      <w:r>
        <w:rPr>
          <w:rFonts w:ascii="Georgia" w:hAnsi="Georgia" w:cs="Georgia"/>
          <w:sz w:val="23"/>
          <w:sz-cs w:val="23"/>
          <w:vertAlign w:val="superscript"/>
          <w:spacing w:val="0"/>
          <w:color w:val="141414"/>
        </w:rPr>
        <w:t xml:space="preserve">(8)</w:t>
      </w:r>
      <w:r>
        <w:rPr>
          <w:rFonts w:ascii="Georgia" w:hAnsi="Georgia" w:cs="Georgia"/>
          <w:sz w:val="28"/>
          <w:sz-cs w:val="28"/>
          <w:spacing w:val="0"/>
          <w:color w:val="141414"/>
        </w:rPr>
        <w:t xml:space="preserve"> : montant du dernier loyer acquitté […] € — date de versement […] — date de la dernière révision […]</w:t>
      </w:r>
    </w:p>
    <w:p>
      <w:pPr>
        <w:spacing w:after="133"/>
      </w:pPr>
      <w:r>
        <w:rPr>
          <w:rFonts w:ascii="Georgia" w:hAnsi="Georgia" w:cs="Georgia"/>
          <w:sz w:val="26"/>
          <w:sz-cs w:val="26"/>
          <w:i/>
          <w:spacing w:val="0"/>
          <w:color w:val="2C2C2C"/>
        </w:rPr>
        <w:t xml:space="preserve">2° Le cas échéant, modalités de révision</w:t>
      </w:r>
    </w:p>
    <w:p>
      <w:pPr>
        <w:jc w:val="both"/>
        <w:ind w:left="480" w:first-line="-480"/>
        <w:spacing w:after="106"/>
      </w:pPr>
      <w:r>
        <w:rPr>
          <w:rFonts w:ascii="Georgia" w:hAnsi="Georgia" w:cs="Georgia"/>
          <w:sz w:val="28"/>
          <w:sz-cs w:val="28"/>
          <w:spacing w:val="0"/>
          <w:color w:val="141414"/>
        </w:rPr>
        <w:t xml:space="preserve">a) Date de révision : […]</w:t>
      </w:r>
    </w:p>
    <w:p>
      <w:pPr>
        <w:jc w:val="both"/>
        <w:ind w:left="480" w:first-line="-480"/>
        <w:spacing w:after="106"/>
      </w:pPr>
      <w:r>
        <w:rPr>
          <w:rFonts w:ascii="Georgia" w:hAnsi="Georgia" w:cs="Georgia"/>
          <w:sz w:val="28"/>
          <w:sz-cs w:val="28"/>
          <w:spacing w:val="0"/>
          <w:color w:val="141414"/>
        </w:rPr>
        <w:t xml:space="preserve">b) Date ou trimestre de référence de l'IRL : […]</w:t>
      </w:r>
    </w:p>
    <w:p>
      <w:pPr>
        <w:spacing w:after="160"/>
      </w:pPr>
      <w:r>
        <w:rPr>
          <w:rFonts w:ascii="Helvetica Neue" w:hAnsi="Helvetica Neue" w:cs="Helvetica Neue"/>
          <w:sz w:val="26"/>
          <w:sz-cs w:val="26"/>
          <w:b/>
          <w:spacing w:val="0"/>
          <w:color w:val="2C2C2C"/>
        </w:rPr>
        <w:t xml:space="preserve">B. Charges récupérables</w:t>
      </w:r>
    </w:p>
    <w:p>
      <w:pPr>
        <w:jc w:val="both"/>
        <w:spacing w:after="106"/>
      </w:pPr>
      <w:r>
        <w:rPr>
          <w:rFonts w:ascii="Georgia" w:hAnsi="Georgia" w:cs="Georgia"/>
          <w:sz w:val="28"/>
          <w:sz-cs w:val="28"/>
          <w:spacing w:val="0"/>
          <w:color w:val="141414"/>
        </w:rPr>
        <w:t xml:space="preserve">1. Modalité de règlement des charges récupérables : provisions sur charges avec régularisation annuelle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paiement périodique sans provision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forfait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2. </w:t>
      </w: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montant des provisions sur charges ou du forfait de charges : […] €</w:t>
      </w:r>
    </w:p>
    <w:p>
      <w:pPr>
        <w:jc w:val="both"/>
        <w:spacing w:after="106"/>
      </w:pPr>
      <w:r>
        <w:rPr>
          <w:rFonts w:ascii="Georgia" w:hAnsi="Georgia" w:cs="Georgia"/>
          <w:sz w:val="28"/>
          <w:sz-cs w:val="28"/>
          <w:spacing w:val="0"/>
          <w:color w:val="141414"/>
        </w:rPr>
        <w:t xml:space="preserve">3. </w:t>
      </w: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modalités de révision du forfait de charges : […] </w:t>
      </w:r>
      <w:r>
        <w:rPr>
          <w:rFonts w:ascii="Georgia" w:hAnsi="Georgia" w:cs="Georgia"/>
          <w:sz w:val="23"/>
          <w:sz-cs w:val="23"/>
          <w:vertAlign w:val="superscript"/>
          <w:spacing w:val="0"/>
          <w:color w:val="141414"/>
        </w:rPr>
        <w:t xml:space="preserve">(9)</w:t>
      </w:r>
      <w:r>
        <w:rPr>
          <w:rFonts w:ascii="Georgia" w:hAnsi="Georgia" w:cs="Georgia"/>
          <w:sz w:val="28"/>
          <w:sz-cs w:val="28"/>
          <w:spacing w:val="0"/>
          <w:color w:val="141414"/>
        </w:rPr>
        <w:t xml:space="preserve"/>
      </w:r>
    </w:p>
    <w:p>
      <w:pPr>
        <w:spacing w:after="160"/>
      </w:pPr>
      <w:r>
        <w:rPr>
          <w:rFonts w:ascii="Helvetica Neue" w:hAnsi="Helvetica Neue" w:cs="Helvetica Neue"/>
          <w:sz w:val="26"/>
          <w:sz-cs w:val="26"/>
          <w:b/>
          <w:spacing w:val="0"/>
          <w:color w:val="2C2C2C"/>
        </w:rPr>
        <w:t xml:space="preserve">C. Le cas échéant, en cas de colocation, souscription par le bailleur d'une assurance pour le compte des colocataires </w:t>
      </w:r>
      <w:r>
        <w:rPr>
          <w:rFonts w:ascii="Helvetica Neue" w:hAnsi="Helvetica Neue" w:cs="Helvetica Neue"/>
          <w:sz w:val="22"/>
          <w:sz-cs w:val="22"/>
          <w:b/>
          <w:vertAlign w:val="superscript"/>
          <w:spacing w:val="0"/>
          <w:color w:val="2C2C2C"/>
        </w:rPr>
        <w:t xml:space="preserve">(10)</w:t>
      </w:r>
      <w:r>
        <w:rPr>
          <w:rFonts w:ascii="Helvetica Neue" w:hAnsi="Helvetica Neue" w:cs="Helvetica Neue"/>
          <w:sz w:val="26"/>
          <w:sz-cs w:val="26"/>
          <w:b/>
          <w:spacing w:val="0"/>
          <w:color w:val="2C2C2C"/>
        </w:rPr>
        <w:t xml:space="preserve"/>
      </w:r>
    </w:p>
    <w:p>
      <w:pPr>
        <w:jc w:val="both"/>
        <w:spacing w:after="106"/>
      </w:pPr>
      <w:r>
        <w:rPr>
          <w:rFonts w:ascii="Georgia" w:hAnsi="Georgia" w:cs="Georgia"/>
          <w:sz w:val="28"/>
          <w:sz-cs w:val="28"/>
          <w:spacing w:val="0"/>
          <w:color w:val="141414"/>
        </w:rPr>
        <w:t xml:space="preserve">Oui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Non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a. Montant total annuel récupérable au titre de l'assurance pour compte des colocataires : […] € </w:t>
      </w:r>
      <w:r>
        <w:rPr>
          <w:rFonts w:ascii="Georgia" w:hAnsi="Georgia" w:cs="Georgia"/>
          <w:sz w:val="23"/>
          <w:sz-cs w:val="23"/>
          <w:vertAlign w:val="superscript"/>
          <w:spacing w:val="0"/>
          <w:color w:val="141414"/>
        </w:rPr>
        <w:t xml:space="preserve">(11)</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b. Montant récupérable par douzième : […] €</w:t>
      </w:r>
    </w:p>
    <w:p>
      <w:pPr>
        <w:spacing w:after="160"/>
      </w:pPr>
      <w:r>
        <w:rPr>
          <w:rFonts w:ascii="Helvetica Neue" w:hAnsi="Helvetica Neue" w:cs="Helvetica Neue"/>
          <w:sz w:val="26"/>
          <w:sz-cs w:val="26"/>
          <w:b/>
          <w:spacing w:val="0"/>
          <w:color w:val="2C2C2C"/>
        </w:rPr>
        <w:t xml:space="preserve">D. Modalités de paiement</w:t>
      </w:r>
    </w:p>
    <w:p>
      <w:pPr>
        <w:jc w:val="both"/>
        <w:spacing w:after="106"/>
      </w:pPr>
      <w:r>
        <w:rPr>
          <w:rFonts w:ascii="Georgia" w:hAnsi="Georgia" w:cs="Georgia"/>
          <w:sz w:val="28"/>
          <w:sz-cs w:val="28"/>
          <w:spacing w:val="0"/>
          <w:color w:val="141414"/>
        </w:rPr>
        <w:t xml:space="preserve">Périodicité du paiement : […] </w:t>
      </w:r>
      <w:r>
        <w:rPr>
          <w:rFonts w:ascii="Georgia" w:hAnsi="Georgia" w:cs="Georgia"/>
          <w:sz w:val="23"/>
          <w:sz-cs w:val="23"/>
          <w:vertAlign w:val="superscript"/>
          <w:spacing w:val="0"/>
          <w:color w:val="141414"/>
        </w:rPr>
        <w:t xml:space="preserve">(12)</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Paiement : à échoir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à terme échu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Date ou période de paiement : […]</w:t>
      </w:r>
    </w:p>
    <w:p>
      <w:pPr>
        <w:jc w:val="both"/>
        <w:spacing w:after="106"/>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lieu de paiement : […]</w:t>
      </w:r>
    </w:p>
    <w:p>
      <w:pPr>
        <w:jc w:val="both"/>
        <w:spacing w:after="106"/>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montant total dû à la première échéance de paiement pour une période complète de location : loyer […] € + charges récupérables […] € + en cas de colocation, assurance récupérable pour le compte des colocataires […] € = </w:t>
      </w:r>
      <w:r>
        <w:rPr>
          <w:rFonts w:ascii="Georgia" w:hAnsi="Georgia" w:cs="Georgia"/>
          <w:sz w:val="28"/>
          <w:sz-cs w:val="28"/>
          <w:b/>
          <w:spacing w:val="0"/>
          <w:color w:val="141414"/>
        </w:rPr>
        <w:t xml:space="preserve">[…] €</w:t>
      </w:r>
      <w:r>
        <w:rPr>
          <w:rFonts w:ascii="Georgia" w:hAnsi="Georgia" w:cs="Georgia"/>
          <w:sz w:val="28"/>
          <w:sz-cs w:val="28"/>
          <w:spacing w:val="0"/>
          <w:color w:val="141414"/>
        </w:rPr>
        <w:t xml:space="preserve"/>
      </w:r>
    </w:p>
    <w:p>
      <w:pPr>
        <w:spacing w:after="160"/>
      </w:pPr>
      <w:r>
        <w:rPr>
          <w:rFonts w:ascii="Helvetica Neue" w:hAnsi="Helvetica Neue" w:cs="Helvetica Neue"/>
          <w:sz w:val="26"/>
          <w:sz-cs w:val="26"/>
          <w:b/>
          <w:spacing w:val="0"/>
          <w:color w:val="2C2C2C"/>
        </w:rPr>
        <w:t xml:space="preserve">E. Le cas échéant, exclusivement lors d'un renouvellement de contrat, modalités de réévaluation d'un loyer manifestement sous-évalué</w:t>
      </w:r>
    </w:p>
    <w:p>
      <w:pPr>
        <w:jc w:val="both"/>
        <w:spacing w:after="106"/>
      </w:pPr>
      <w:r>
        <w:rPr>
          <w:rFonts w:ascii="Georgia" w:hAnsi="Georgia" w:cs="Georgia"/>
          <w:sz w:val="28"/>
          <w:sz-cs w:val="28"/>
          <w:spacing w:val="0"/>
          <w:color w:val="141414"/>
        </w:rPr>
        <w:t xml:space="preserve">1. Montant de la hausse ou de la baisse de loyer mensuelle : […] €</w:t>
      </w:r>
    </w:p>
    <w:p>
      <w:pPr>
        <w:jc w:val="both"/>
        <w:spacing w:after="106"/>
      </w:pPr>
      <w:r>
        <w:rPr>
          <w:rFonts w:ascii="Georgia" w:hAnsi="Georgia" w:cs="Georgia"/>
          <w:sz w:val="28"/>
          <w:sz-cs w:val="28"/>
          <w:spacing w:val="0"/>
          <w:color w:val="141414"/>
        </w:rPr>
        <w:t xml:space="preserve">2. Modalité d'application annuelle de la hausse : par tiers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par sixième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i/>
          <w:spacing w:val="0"/>
          <w:color w:val="141414"/>
        </w:rPr>
        <w:t xml:space="preserve">(selon la durée du contrat et le montant de la hausse de loyer)</w:t>
      </w:r>
      <w:r>
        <w:rPr>
          <w:rFonts w:ascii="Georgia" w:hAnsi="Georgia" w:cs="Georgia"/>
          <w:sz w:val="28"/>
          <w:sz-cs w:val="28"/>
          <w:spacing w:val="0"/>
          <w:color w:val="141414"/>
        </w:rPr>
        <w:t xml:space="preserve"/>
      </w:r>
    </w:p>
    <w:p>
      <w:pPr>
        <w:spacing w:after="160"/>
      </w:pPr>
      <w:r>
        <w:rPr>
          <w:rFonts w:ascii="Helvetica Neue" w:hAnsi="Helvetica Neue" w:cs="Helvetica Neue"/>
          <w:sz w:val="26"/>
          <w:sz-cs w:val="26"/>
          <w:b/>
          <w:spacing w:val="0"/>
          <w:color w:val="2C2C2C"/>
        </w:rPr>
        <w:t xml:space="preserve">F. Dépenses énergétiques (pour information)</w:t>
      </w:r>
    </w:p>
    <w:p>
      <w:pPr>
        <w:jc w:val="both"/>
        <w:spacing w:after="213"/>
      </w:pPr>
      <w:r>
        <w:rPr>
          <w:rFonts w:ascii="Georgia" w:hAnsi="Georgia" w:cs="Georgia"/>
          <w:sz w:val="28"/>
          <w:sz-cs w:val="28"/>
          <w:spacing w:val="0"/>
          <w:color w:val="141414"/>
        </w:rPr>
        <w:t xml:space="preserve">Montant estimé des dépenses annuelles d'énergie pour un usage standard de l'ensemble des usages énumérés dans le diagnostic de performance énergétique (chauffage, refroidissement, production d'eau chaude sanitaire, éclairage et auxiliaires de chauffage, de refroidissement, d'eau chaude sanitaire et de ventilation) mentionné à l'article L. 126-26 du code de la construction et de l'habitation : </w:t>
      </w:r>
      <w:r>
        <w:rPr>
          <w:rFonts w:ascii="Georgia" w:hAnsi="Georgia" w:cs="Georgia"/>
          <w:sz w:val="28"/>
          <w:sz-cs w:val="28"/>
          <w:b/>
          <w:spacing w:val="0"/>
          <w:color w:val="141414"/>
        </w:rPr>
        <w:t xml:space="preserve">[…]</w:t>
      </w:r>
      <w:r>
        <w:rPr>
          <w:rFonts w:ascii="Georgia" w:hAnsi="Georgia" w:cs="Georgia"/>
          <w:sz w:val="28"/>
          <w:sz-cs w:val="28"/>
          <w:spacing w:val="0"/>
          <w:color w:val="141414"/>
        </w:rPr>
        <w:t xml:space="preserve"> (estimation réalisée à partir des prix énergétiques de référence de l'année : […]).</w:t>
      </w:r>
    </w:p>
    <w:p>
      <w:pPr>
        <w:spacing w:after="240"/>
      </w:pPr>
      <w:r>
        <w:rPr>
          <w:rFonts w:ascii="Helvetica Neue" w:hAnsi="Helvetica Neue" w:cs="Helvetica Neue"/>
          <w:sz w:val="30"/>
          <w:sz-cs w:val="30"/>
          <w:b/>
          <w:spacing w:val="0"/>
          <w:color w:val="141414"/>
        </w:rPr>
        <w:t xml:space="preserve">V. Travaux</w:t>
      </w:r>
    </w:p>
    <w:p>
      <w:pPr>
        <w:spacing w:after="160"/>
      </w:pPr>
      <w:r>
        <w:rPr>
          <w:rFonts w:ascii="Helvetica Neue" w:hAnsi="Helvetica Neue" w:cs="Helvetica Neue"/>
          <w:sz w:val="26"/>
          <w:sz-cs w:val="26"/>
          <w:b/>
          <w:spacing w:val="0"/>
          <w:color w:val="2C2C2C"/>
        </w:rPr>
        <w:t xml:space="preserve">A. Le cas échéant, montant et nature des travaux d'amélioration ou de mise en conformité avec les caractéristiques de décence effectués depuis la fin du dernier contrat de location ou depuis le dernier renouvellement</w:t>
      </w:r>
    </w:p>
    <w:p>
      <w:pPr>
        <w:jc w:val="both"/>
        <w:spacing w:after="106"/>
      </w:pPr>
      <w:r>
        <w:rPr>
          <w:rFonts w:ascii="Georgia" w:hAnsi="Georgia" w:cs="Georgia"/>
          <w:sz w:val="28"/>
          <w:sz-cs w:val="28"/>
          <w:spacing w:val="0"/>
          <w:color w:val="141414"/>
        </w:rPr>
        <w:t xml:space="preserve">[…] </w:t>
      </w:r>
      <w:r>
        <w:rPr>
          <w:rFonts w:ascii="Georgia" w:hAnsi="Georgia" w:cs="Georgia"/>
          <w:sz w:val="23"/>
          <w:sz-cs w:val="23"/>
          <w:vertAlign w:val="superscript"/>
          <w:spacing w:val="0"/>
          <w:color w:val="141414"/>
        </w:rPr>
        <w:t xml:space="preserve">(13)</w:t>
      </w:r>
      <w:r>
        <w:rPr>
          <w:rFonts w:ascii="Georgia" w:hAnsi="Georgia" w:cs="Georgia"/>
          <w:sz w:val="28"/>
          <w:sz-cs w:val="28"/>
          <w:spacing w:val="0"/>
          <w:color w:val="141414"/>
        </w:rPr>
        <w:t xml:space="preserve"/>
      </w:r>
    </w:p>
    <w:p>
      <w:pPr>
        <w:spacing w:after="160"/>
      </w:pPr>
      <w:r>
        <w:rPr>
          <w:rFonts w:ascii="Helvetica Neue" w:hAnsi="Helvetica Neue" w:cs="Helvetica Neue"/>
          <w:sz w:val="26"/>
          <w:sz-cs w:val="26"/>
          <w:b/>
          <w:spacing w:val="0"/>
          <w:color w:val="2C2C2C"/>
        </w:rPr>
        <w:t xml:space="preserve">B. Le cas échéant, majoration du loyer en cours de bail consécutive à des travaux d'amélioration entrepris par le bailleur ou d'acquisitions d'équipements </w:t>
      </w:r>
      <w:r>
        <w:rPr>
          <w:rFonts w:ascii="Helvetica Neue" w:hAnsi="Helvetica Neue" w:cs="Helvetica Neue"/>
          <w:sz w:val="22"/>
          <w:sz-cs w:val="22"/>
          <w:b/>
          <w:vertAlign w:val="superscript"/>
          <w:spacing w:val="0"/>
          <w:color w:val="2C2C2C"/>
        </w:rPr>
        <w:t xml:space="preserve">(14)</w:t>
      </w:r>
      <w:r>
        <w:rPr>
          <w:rFonts w:ascii="Helvetica Neue" w:hAnsi="Helvetica Neue" w:cs="Helvetica Neue"/>
          <w:sz w:val="26"/>
          <w:sz-cs w:val="26"/>
          <w:b/>
          <w:spacing w:val="0"/>
          <w:color w:val="2C2C2C"/>
        </w:rPr>
        <w:t xml:space="preserve"/>
      </w:r>
    </w:p>
    <w:p>
      <w:pPr>
        <w:jc w:val="both"/>
        <w:spacing w:after="106"/>
      </w:pPr>
      <w:r>
        <w:rPr>
          <w:rFonts w:ascii="Georgia" w:hAnsi="Georgia" w:cs="Georgia"/>
          <w:sz w:val="28"/>
          <w:sz-cs w:val="28"/>
          <w:spacing w:val="0"/>
          <w:color w:val="141414"/>
        </w:rPr>
        <w:t xml:space="preserve">Nature des travaux : […]</w:t>
      </w:r>
    </w:p>
    <w:p>
      <w:pPr>
        <w:jc w:val="both"/>
        <w:spacing w:after="106"/>
      </w:pPr>
      <w:r>
        <w:rPr>
          <w:rFonts w:ascii="Georgia" w:hAnsi="Georgia" w:cs="Georgia"/>
          <w:sz w:val="28"/>
          <w:sz-cs w:val="28"/>
          <w:spacing w:val="0"/>
          <w:color w:val="141414"/>
        </w:rPr>
        <w:t xml:space="preserve">Modalités d'exécution : […]</w:t>
      </w:r>
    </w:p>
    <w:p>
      <w:pPr>
        <w:jc w:val="both"/>
        <w:spacing w:after="106"/>
      </w:pPr>
      <w:r>
        <w:rPr>
          <w:rFonts w:ascii="Georgia" w:hAnsi="Georgia" w:cs="Georgia"/>
          <w:sz w:val="28"/>
          <w:sz-cs w:val="28"/>
          <w:spacing w:val="0"/>
          <w:color w:val="141414"/>
        </w:rPr>
        <w:t xml:space="preserve">Délai de réalisation : […]</w:t>
      </w:r>
    </w:p>
    <w:p>
      <w:pPr>
        <w:jc w:val="both"/>
        <w:spacing w:after="106"/>
      </w:pPr>
      <w:r>
        <w:rPr>
          <w:rFonts w:ascii="Georgia" w:hAnsi="Georgia" w:cs="Georgia"/>
          <w:sz w:val="28"/>
          <w:sz-cs w:val="28"/>
          <w:spacing w:val="0"/>
          <w:color w:val="141414"/>
        </w:rPr>
        <w:t xml:space="preserve">Montant de la majoration du loyer : […] €</w:t>
      </w:r>
    </w:p>
    <w:p>
      <w:pPr>
        <w:spacing w:after="160"/>
      </w:pPr>
      <w:r>
        <w:rPr>
          <w:rFonts w:ascii="Helvetica Neue" w:hAnsi="Helvetica Neue" w:cs="Helvetica Neue"/>
          <w:sz w:val="26"/>
          <w:sz-cs w:val="26"/>
          <w:b/>
          <w:spacing w:val="0"/>
          <w:color w:val="2C2C2C"/>
        </w:rPr>
        <w:t xml:space="preserve">C. Le cas échéant, diminution de loyer en cours de bail consécutive à des travaux entrepris par le locataire</w:t>
      </w:r>
    </w:p>
    <w:p>
      <w:pPr>
        <w:jc w:val="both"/>
        <w:spacing w:after="106"/>
      </w:pPr>
      <w:r>
        <w:rPr>
          <w:rFonts w:ascii="Georgia" w:hAnsi="Georgia" w:cs="Georgia"/>
          <w:sz w:val="28"/>
          <w:sz-cs w:val="28"/>
          <w:spacing w:val="0"/>
          <w:color w:val="141414"/>
        </w:rPr>
        <w:t xml:space="preserve">Durée de cette diminution : […]</w:t>
      </w:r>
    </w:p>
    <w:p>
      <w:pPr>
        <w:jc w:val="both"/>
        <w:spacing w:after="106"/>
      </w:pPr>
      <w:r>
        <w:rPr>
          <w:rFonts w:ascii="Georgia" w:hAnsi="Georgia" w:cs="Georgia"/>
          <w:sz w:val="28"/>
          <w:sz-cs w:val="28"/>
          <w:spacing w:val="0"/>
          <w:color w:val="141414"/>
        </w:rPr>
        <w:t xml:space="preserve">En cas de départ anticipé du locataire, modalités de son dédommagement sur justification des dépenses effectuées : […]</w:t>
      </w:r>
    </w:p>
    <w:p>
      <w:pPr>
        <w:spacing w:after="240"/>
      </w:pPr>
      <w:r>
        <w:rPr>
          <w:rFonts w:ascii="Helvetica Neue" w:hAnsi="Helvetica Neue" w:cs="Helvetica Neue"/>
          <w:sz w:val="30"/>
          <w:sz-cs w:val="30"/>
          <w:b/>
          <w:spacing w:val="0"/>
          <w:color w:val="141414"/>
        </w:rPr>
        <w:t xml:space="preserve">VI. Garanties</w:t>
      </w:r>
    </w:p>
    <w:p>
      <w:pPr>
        <w:jc w:val="both"/>
        <w:spacing w:after="106"/>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Montant du dépôt de garantie de l'exécution des obligations du locataire : […] € </w:t>
      </w:r>
      <w:r>
        <w:rPr>
          <w:rFonts w:ascii="Georgia" w:hAnsi="Georgia" w:cs="Georgia"/>
          <w:sz w:val="28"/>
          <w:sz-cs w:val="28"/>
          <w:i/>
          <w:spacing w:val="0"/>
          <w:color w:val="141414"/>
        </w:rPr>
        <w:t xml:space="preserve">(inférieur ou égal à deux mois de loyer hors charges)</w:t>
      </w:r>
      <w:r>
        <w:rPr>
          <w:rFonts w:ascii="Georgia" w:hAnsi="Georgia" w:cs="Georgia"/>
          <w:sz w:val="28"/>
          <w:sz-cs w:val="28"/>
          <w:spacing w:val="0"/>
          <w:color w:val="141414"/>
        </w:rPr>
        <w:t xml:space="preserve"/>
      </w:r>
    </w:p>
    <w:p>
      <w:pPr>
        <w:spacing w:after="240"/>
      </w:pPr>
      <w:r>
        <w:rPr>
          <w:rFonts w:ascii="Helvetica Neue" w:hAnsi="Helvetica Neue" w:cs="Helvetica Neue"/>
          <w:sz w:val="30"/>
          <w:sz-cs w:val="30"/>
          <w:b/>
          <w:spacing w:val="0"/>
          <w:color w:val="141414"/>
        </w:rPr>
        <w:t xml:space="preserve">VII. Le cas échéant, clause de solidarité</w:t>
      </w:r>
    </w:p>
    <w:p>
      <w:pPr>
        <w:jc w:val="both"/>
        <w:spacing w:after="186"/>
      </w:pPr>
      <w:r>
        <w:rPr>
          <w:rFonts w:ascii="Georgia" w:hAnsi="Georgia" w:cs="Georgia"/>
          <w:sz w:val="24"/>
          <w:sz-cs w:val="24"/>
          <w:i/>
          <w:spacing w:val="0"/>
          <w:color w:val="434343"/>
        </w:rPr>
        <w:t xml:space="preserve">Applicable si « Bail collectif de colocation » est coché en tête de document (ou en cas de pluralité de locataires hors colocation, ex. un couple).</w:t>
      </w:r>
    </w:p>
    <w:p>
      <w:pPr>
        <w:jc w:val="both"/>
        <w:spacing w:after="213"/>
      </w:pPr>
      <w:r>
        <w:rPr>
          <w:rFonts w:ascii="Georgia" w:hAnsi="Georgia" w:cs="Georgia"/>
          <w:sz w:val="28"/>
          <w:sz-cs w:val="28"/>
          <w:spacing w:val="0"/>
          <w:color w:val="141414"/>
        </w:rPr>
        <w:t xml:space="preserve">Modalités particulières des obligations en cas de pluralité de locataires : les locataires sont tenus solidairement et indivisiblement des obligations résultant du présent contrat. Chacun d'eux peut être poursuivi pour la totalité des sommes dues, sans que le bailleur ait à diviser ses poursuites.</w:t>
      </w:r>
    </w:p>
    <w:p>
      <w:pPr>
        <w:jc w:val="both"/>
        <w:spacing w:after="213"/>
      </w:pPr>
      <w:r>
        <w:rPr>
          <w:rFonts w:ascii="Georgia" w:hAnsi="Georgia" w:cs="Georgia"/>
          <w:sz w:val="28"/>
          <w:sz-cs w:val="28"/>
          <w:spacing w:val="0"/>
          <w:color w:val="141414"/>
        </w:rPr>
        <w:t xml:space="preserve">En application du VI de l'article 8-1 de la loi n° 89-462 du 6 juillet 1989, lorsqu'un des colocataires donne congé, cette solidarité prend fin à la date d'effet du congé lorsqu'un nouveau colocataire figure au bail ou, à défaut, au plus tard six mois après la date d'effet du congé. L'engagement de la personne qui s'est portée caution pour le colocataire sortant prend fin dans les mêmes conditions. L'acte de cautionnement identifie, à peine de nullité, le colocataire pour lequel la personne se porte caution.</w:t>
      </w:r>
    </w:p>
    <w:p>
      <w:pPr>
        <w:spacing w:after="240"/>
      </w:pPr>
      <w:r>
        <w:rPr>
          <w:rFonts w:ascii="Helvetica Neue" w:hAnsi="Helvetica Neue" w:cs="Helvetica Neue"/>
          <w:sz w:val="30"/>
          <w:sz-cs w:val="30"/>
          <w:b/>
          <w:spacing w:val="0"/>
          <w:color w:val="141414"/>
        </w:rPr>
        <w:t xml:space="preserve">VIII. Clause résolutoire</w:t>
      </w:r>
    </w:p>
    <w:p>
      <w:pPr>
        <w:jc w:val="both"/>
        <w:spacing w:after="213"/>
      </w:pPr>
      <w:r>
        <w:rPr>
          <w:rFonts w:ascii="Georgia" w:hAnsi="Georgia" w:cs="Georgia"/>
          <w:sz w:val="28"/>
          <w:sz-cs w:val="28"/>
          <w:spacing w:val="0"/>
          <w:color w:val="141414"/>
        </w:rPr>
        <w:t xml:space="preserve">Le contrat de location est résilié de plein droit pour défaut de paiement du loyer ou des charges aux termes convenus ou pour non versement du dépôt de garantie. La clause de résiliation de plein droit ne produit effet que six semaines après la date d'un commandement de payer demeuré infructueux.</w:t>
      </w:r>
    </w:p>
    <w:p>
      <w:pPr>
        <w:jc w:val="both"/>
        <w:spacing w:after="213"/>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modalités de résiliation de plein droit du contrat pour des motifs autres que le défaut de paiement du loyer ou des charges ou le non versement du dépôt de garantie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Non-souscription d'une assurance des risques locatifs. La clause ne produit effet qu'un mois après un commandement demeuré infructueux.</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Non-respect de l'obligation d'user paisiblement des locaux loués, résultant de troubles de voisinage constatés par une décision de justice passée en force de chose jugée.</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Lorsque le logement est soumis à l'obligation prévue à l'article L. 151-14-1 du code de l'urbanisme, non-respect de l'obligation de l'occuper exclusivement à titre de résidence principale. Dans ce cas, la clause ne peut produire effet qu'à l'expiration d'un délai de mise en demeure fixé par le maire conformément au II de l'article L. 481-4 du code de l'urbanisme.</w:t>
      </w:r>
    </w:p>
    <w:p>
      <w:pPr>
        <w:spacing w:after="240"/>
      </w:pPr>
      <w:r>
        <w:rPr>
          <w:rFonts w:ascii="Helvetica Neue" w:hAnsi="Helvetica Neue" w:cs="Helvetica Neue"/>
          <w:sz w:val="30"/>
          <w:sz-cs w:val="30"/>
          <w:b/>
          <w:spacing w:val="0"/>
          <w:color w:val="141414"/>
        </w:rPr>
        <w:t xml:space="preserve">IX. Le cas échéant, honoraires de location</w:t>
      </w:r>
    </w:p>
    <w:p>
      <w:pPr>
        <w:spacing w:after="160"/>
      </w:pPr>
      <w:r>
        <w:rPr>
          <w:rFonts w:ascii="Helvetica Neue" w:hAnsi="Helvetica Neue" w:cs="Helvetica Neue"/>
          <w:sz w:val="26"/>
          <w:sz-cs w:val="26"/>
          <w:b/>
          <w:spacing w:val="0"/>
          <w:color w:val="2C2C2C"/>
        </w:rPr>
        <w:t xml:space="preserve">A. Dispositions applicables</w:t>
      </w:r>
    </w:p>
    <w:p>
      <w:pPr>
        <w:jc w:val="both"/>
        <w:spacing w:after="213"/>
      </w:pPr>
      <w:r>
        <w:rPr>
          <w:rFonts w:ascii="Georgia" w:hAnsi="Georgia" w:cs="Georgia"/>
          <w:sz w:val="28"/>
          <w:sz-cs w:val="28"/>
          <w:spacing w:val="0"/>
          <w:color w:val="141414"/>
        </w:rPr>
        <w:t xml:space="preserve">La rémunération des personnes mandatées pour se livrer ou prêter leur concours à l'entremise ou à la négociation d'une mise en location d'un logement, tel que défini aux articles 2 et 25-3, est à la charge exclusive du bailleur, à l'exception des honoraires liés aux prestations mentionnées aux deuxième et troisième alinéas du présent I.</w:t>
      </w:r>
    </w:p>
    <w:p>
      <w:pPr>
        <w:jc w:val="both"/>
        <w:spacing w:after="213"/>
      </w:pPr>
      <w:r>
        <w:rPr>
          <w:rFonts w:ascii="Georgia" w:hAnsi="Georgia" w:cs="Georgia"/>
          <w:sz w:val="28"/>
          <w:sz-cs w:val="28"/>
          <w:spacing w:val="0"/>
          <w:color w:val="141414"/>
        </w:rPr>
        <w:t xml:space="preserve">Les honoraires des personnes mandatées pour effectuer la visite du preneur, constituer son dossier et rédiger un bail sont partagés entre le bailleur et le preneur. Le montant toutes taxes comprises imputé au preneur pour ces prestations ne peut excéder celui imputé au bailleur et demeure inférieur ou égal à un plafond par mètre carré de surface habitable de la chose louée fixé par voie réglementaire et révisable chaque année, dans des conditions définies par décret. Ces honoraires sont dus à la signature du bail.</w:t>
      </w:r>
    </w:p>
    <w:p>
      <w:pPr>
        <w:jc w:val="both"/>
        <w:spacing w:after="213"/>
      </w:pPr>
      <w:r>
        <w:rPr>
          <w:rFonts w:ascii="Georgia" w:hAnsi="Georgia" w:cs="Georgia"/>
          <w:sz w:val="28"/>
          <w:sz-cs w:val="28"/>
          <w:spacing w:val="0"/>
          <w:color w:val="141414"/>
        </w:rPr>
        <w:t xml:space="preserve">Les honoraires des personnes mandatées pour réaliser un état des lieux sont partagés entre le bailleur et le preneur. Le montant toutes taxes comprises imputé au locataire pour cette prestation ne peut excéder celui imputé au bailleur et demeure inférieur ou égal à un plafond par mètre carré de surface habitable de la chose louée fixé par voie réglementaire et révisable chaque année, dans des conditions définies par décret. Ces honoraires sont dus à compter de la réalisation de la prestation.</w:t>
      </w:r>
    </w:p>
    <w:p>
      <w:pPr>
        <w:jc w:val="both"/>
        <w:spacing w:after="106"/>
      </w:pPr>
      <w:r>
        <w:rPr>
          <w:rFonts w:ascii="Georgia" w:hAnsi="Georgia" w:cs="Georgia"/>
          <w:sz w:val="28"/>
          <w:sz-cs w:val="28"/>
          <w:spacing w:val="0"/>
          <w:color w:val="141414"/>
        </w:rPr>
        <w:t xml:space="preserve">Plafond des honoraires imputables aux locataires pour la visite du preneur, la constitution de son dossier et la rédaction du bail : […] €/m²</w:t>
      </w:r>
    </w:p>
    <w:p>
      <w:pPr>
        <w:jc w:val="both"/>
        <w:spacing w:after="106"/>
      </w:pPr>
      <w:r>
        <w:rPr>
          <w:rFonts w:ascii="Georgia" w:hAnsi="Georgia" w:cs="Georgia"/>
          <w:sz w:val="28"/>
          <w:sz-cs w:val="28"/>
          <w:spacing w:val="0"/>
          <w:color w:val="141414"/>
        </w:rPr>
        <w:t xml:space="preserve">Plafond des honoraires imputables aux locataires pour l'établissement de l'état des lieux d'entrée : […] €/m²</w:t>
      </w:r>
    </w:p>
    <w:p>
      <w:pPr>
        <w:spacing w:after="160"/>
      </w:pPr>
      <w:r>
        <w:rPr>
          <w:rFonts w:ascii="Helvetica Neue" w:hAnsi="Helvetica Neue" w:cs="Helvetica Neue"/>
          <w:sz w:val="26"/>
          <w:sz-cs w:val="26"/>
          <w:b/>
          <w:spacing w:val="0"/>
          <w:color w:val="2C2C2C"/>
        </w:rPr>
        <w:t xml:space="preserve">B. Détail et répartition des honoraires</w:t>
      </w:r>
    </w:p>
    <w:p>
      <w:pPr>
        <w:spacing w:after="133"/>
      </w:pPr>
      <w:r>
        <w:rPr>
          <w:rFonts w:ascii="Georgia" w:hAnsi="Georgia" w:cs="Georgia"/>
          <w:sz w:val="26"/>
          <w:sz-cs w:val="26"/>
          <w:i/>
          <w:spacing w:val="0"/>
          <w:color w:val="2C2C2C"/>
        </w:rPr>
        <w:t xml:space="preserve">1. Honoraires à la charge du bailleur</w:t>
      </w:r>
    </w:p>
    <w:p>
      <w:pPr>
        <w:jc w:val="both"/>
        <w:ind w:left="480" w:first-line="-480"/>
        <w:spacing w:after="106"/>
      </w:pPr>
      <w:r>
        <w:rPr>
          <w:rFonts w:ascii="Georgia" w:hAnsi="Georgia" w:cs="Georgia"/>
          <w:sz w:val="28"/>
          <w:sz-cs w:val="28"/>
          <w:spacing w:val="0"/>
          <w:color w:val="141414"/>
        </w:rPr>
        <w:t xml:space="preserve">Prestations de visite du preneur, de constitution de son dossier et de rédaction de bail : […] €</w:t>
      </w:r>
    </w:p>
    <w:p>
      <w:pPr>
        <w:jc w:val="both"/>
        <w:ind w:left="480" w:first-line="-480"/>
        <w:spacing w:after="106"/>
      </w:pPr>
      <w:r>
        <w:rPr>
          <w:rFonts w:ascii="Georgia" w:hAnsi="Georgia" w:cs="Georgia"/>
          <w:sz w:val="28"/>
          <w:sz-cs w:val="28"/>
          <w:spacing w:val="0"/>
          <w:color w:val="141414"/>
        </w:rPr>
        <w:t xml:space="preserve">Le cas échéant, prestation de réalisation de l'état des lieux d'entrée : […] €</w:t>
      </w:r>
    </w:p>
    <w:p>
      <w:pPr>
        <w:jc w:val="both"/>
        <w:ind w:left="480" w:first-line="-480"/>
        <w:spacing w:after="106"/>
      </w:pPr>
      <w:r>
        <w:rPr>
          <w:rFonts w:ascii="Georgia" w:hAnsi="Georgia" w:cs="Georgia"/>
          <w:sz w:val="28"/>
          <w:sz-cs w:val="28"/>
          <w:spacing w:val="0"/>
          <w:color w:val="141414"/>
        </w:rPr>
        <w:t xml:space="preserve">Autres prestations : […]</w:t>
      </w:r>
    </w:p>
    <w:p>
      <w:pPr>
        <w:spacing w:after="133"/>
      </w:pPr>
      <w:r>
        <w:rPr>
          <w:rFonts w:ascii="Georgia" w:hAnsi="Georgia" w:cs="Georgia"/>
          <w:sz w:val="26"/>
          <w:sz-cs w:val="26"/>
          <w:i/>
          <w:spacing w:val="0"/>
          <w:color w:val="2C2C2C"/>
        </w:rPr>
        <w:t xml:space="preserve">2. Honoraires à la charge du locataire</w:t>
      </w:r>
    </w:p>
    <w:p>
      <w:pPr>
        <w:jc w:val="both"/>
        <w:ind w:left="480" w:first-line="-480"/>
        <w:spacing w:after="106"/>
      </w:pPr>
      <w:r>
        <w:rPr>
          <w:rFonts w:ascii="Georgia" w:hAnsi="Georgia" w:cs="Georgia"/>
          <w:sz w:val="28"/>
          <w:sz-cs w:val="28"/>
          <w:spacing w:val="0"/>
          <w:color w:val="141414"/>
        </w:rPr>
        <w:t xml:space="preserve">Prestations de visite du preneur, de constitution de son dossier et de rédaction de bail : […] €</w:t>
      </w:r>
    </w:p>
    <w:p>
      <w:pPr>
        <w:jc w:val="both"/>
        <w:ind w:left="480" w:first-line="-480"/>
        <w:spacing w:after="106"/>
      </w:pPr>
      <w:r>
        <w:rPr>
          <w:rFonts w:ascii="Georgia" w:hAnsi="Georgia" w:cs="Georgia"/>
          <w:sz w:val="28"/>
          <w:sz-cs w:val="28"/>
          <w:spacing w:val="0"/>
          <w:color w:val="141414"/>
        </w:rPr>
        <w:t xml:space="preserve">Le cas échéant, prestation de réalisation de l'état des lieux d'entrée : […] €</w:t>
      </w:r>
    </w:p>
    <w:p>
      <w:pPr>
        <w:spacing w:after="240"/>
      </w:pPr>
      <w:r>
        <w:rPr>
          <w:rFonts w:ascii="Helvetica Neue" w:hAnsi="Helvetica Neue" w:cs="Helvetica Neue"/>
          <w:sz w:val="30"/>
          <w:sz-cs w:val="30"/>
          <w:b/>
          <w:spacing w:val="0"/>
          <w:color w:val="141414"/>
        </w:rPr>
        <w:t xml:space="preserve">X. Autres conditions particulières</w:t>
      </w:r>
    </w:p>
    <w:p>
      <w:pPr>
        <w:jc w:val="both"/>
        <w:spacing w:after="106"/>
      </w:pPr>
      <w:r>
        <w:rPr>
          <w:rFonts w:ascii="Georgia" w:hAnsi="Georgia" w:cs="Georgia"/>
          <w:sz w:val="28"/>
          <w:sz-cs w:val="28"/>
          <w:spacing w:val="0"/>
          <w:color w:val="141414"/>
        </w:rPr>
        <w:t xml:space="preserve">Sous-location et cession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i/>
          <w:spacing w:val="0"/>
          <w:color w:val="141414"/>
        </w:rPr>
        <w:t xml:space="preserve">(à cocher si retenue)</w:t>
      </w:r>
      <w:r>
        <w:rPr>
          <w:rFonts w:ascii="Georgia" w:hAnsi="Georgia" w:cs="Georgia"/>
          <w:sz w:val="28"/>
          <w:sz-cs w:val="28"/>
          <w:spacing w:val="0"/>
          <w:color w:val="141414"/>
        </w:rPr>
        <w:t xml:space="preserve"/>
      </w:r>
    </w:p>
    <w:p>
      <w:pPr>
        <w:jc w:val="both"/>
        <w:spacing w:after="213"/>
      </w:pPr>
      <w:r>
        <w:rPr>
          <w:rFonts w:ascii="Georgia" w:hAnsi="Georgia" w:cs="Georgia"/>
          <w:sz w:val="28"/>
          <w:sz-cs w:val="28"/>
          <w:spacing w:val="0"/>
          <w:color w:val="141414"/>
        </w:rPr>
        <w:t xml:space="preserve">Conformément à l'article 8 de la loi n° 89-462 du 6 juillet 1989, le locataire ne peut ni céder le présent contrat de location, ni sous-louer le logement, sans l'accord écrit du bailleur, portant à la fois sur le principe de la sous-location et sur le prix du loyer. Le prix du loyer au mètre carré de surface habitable des locaux sous-loués ne pourra excéder celui payé par le locataire. En cas d'accord, le locataire remettra au sous-locataire l'autorisation écrite du bailleur ainsi qu'une copie du présent contrat.</w:t>
      </w:r>
    </w:p>
    <w:p>
      <w:pPr>
        <w:jc w:val="both"/>
        <w:spacing w:after="106"/>
      </w:pPr>
      <w:r>
        <w:rPr>
          <w:rFonts w:ascii="Georgia" w:hAnsi="Georgia" w:cs="Georgia"/>
          <w:sz w:val="28"/>
          <w:sz-cs w:val="28"/>
          <w:spacing w:val="0"/>
          <w:color w:val="141414"/>
        </w:rPr>
        <w:t xml:space="preserve">Droit de visite du bailleur en vue d'une nouvelle location ou d'une vente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i/>
          <w:spacing w:val="0"/>
          <w:color w:val="141414"/>
        </w:rPr>
        <w:t xml:space="preserve">(à cocher si retenue)</w:t>
      </w:r>
      <w:r>
        <w:rPr>
          <w:rFonts w:ascii="Georgia" w:hAnsi="Georgia" w:cs="Georgia"/>
          <w:sz w:val="28"/>
          <w:sz-cs w:val="28"/>
          <w:spacing w:val="0"/>
          <w:color w:val="141414"/>
        </w:rPr>
        <w:t xml:space="preserve"/>
      </w:r>
    </w:p>
    <w:p>
      <w:pPr>
        <w:jc w:val="both"/>
        <w:spacing w:after="213"/>
      </w:pPr>
      <w:r>
        <w:rPr>
          <w:rFonts w:ascii="Georgia" w:hAnsi="Georgia" w:cs="Georgia"/>
          <w:sz w:val="28"/>
          <w:sz-cs w:val="28"/>
          <w:spacing w:val="0"/>
          <w:color w:val="141414"/>
        </w:rPr>
        <w:t xml:space="preserve">Pendant les [trois] derniers mois du contrat, le bailleur ou son mandataire pourra faire visiter le logement en vue d'une nouvelle location, et à tout moment en cas de mise en vente du logement, à raison de deux heures maximum par jour, les jours ouvrés uniquement — jamais les dimanches ni les jours fériés. Le bailleur informera le locataire des dates et horaires de visite dans un délai raisonnable.</w:t>
      </w:r>
    </w:p>
    <w:p>
      <w:pPr>
        <w:jc w:val="both"/>
        <w:spacing w:after="213"/>
      </w:pPr>
      <w:r>
        <w:rPr>
          <w:rFonts w:ascii="Georgia" w:hAnsi="Georgia" w:cs="Georgia"/>
          <w:sz w:val="28"/>
          <w:sz-cs w:val="28"/>
          <w:spacing w:val="0"/>
          <w:color w:val="141414"/>
        </w:rPr>
        <w:t xml:space="preserve">[…]</w:t>
      </w:r>
    </w:p>
    <w:p>
      <w:pPr>
        <w:spacing w:after="240"/>
      </w:pPr>
      <w:r>
        <w:rPr>
          <w:rFonts w:ascii="Helvetica Neue" w:hAnsi="Helvetica Neue" w:cs="Helvetica Neue"/>
          <w:sz w:val="30"/>
          <w:sz-cs w:val="30"/>
          <w:b/>
          <w:spacing w:val="0"/>
          <w:color w:val="141414"/>
        </w:rPr>
        <w:t xml:space="preserve">XI. Annexes</w:t>
      </w:r>
    </w:p>
    <w:p>
      <w:pPr>
        <w:jc w:val="both"/>
        <w:spacing w:after="213"/>
      </w:pPr>
      <w:r>
        <w:rPr>
          <w:rFonts w:ascii="Georgia" w:hAnsi="Georgia" w:cs="Georgia"/>
          <w:sz w:val="28"/>
          <w:sz-cs w:val="28"/>
          <w:spacing w:val="0"/>
          <w:color w:val="141414"/>
        </w:rPr>
        <w:t xml:space="preserve">Sont annexées et jointes au contrat de location les pièces suivantes :</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A.</w:t>
      </w:r>
      <w:r>
        <w:rPr>
          <w:rFonts w:ascii="Georgia" w:hAnsi="Georgia" w:cs="Georgia"/>
          <w:sz w:val="28"/>
          <w:sz-cs w:val="28"/>
          <w:spacing w:val="0"/>
          <w:color w:val="141414"/>
        </w:rPr>
        <w:t xml:space="preserve"> Le cas échéant, un extrait du règlement concernant la destination de l'immeuble, la jouissance et l'usage des parties privatives et communes, et précisant la quote-part afférente au lot loué dans chacune des catégories de charges</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B.</w:t>
      </w:r>
      <w:r>
        <w:rPr>
          <w:rFonts w:ascii="Georgia" w:hAnsi="Georgia" w:cs="Georgia"/>
          <w:sz w:val="28"/>
          <w:sz-cs w:val="28"/>
          <w:spacing w:val="0"/>
          <w:color w:val="141414"/>
        </w:rPr>
        <w:t xml:space="preserve"> Un dossier de diagnostic technique comprenant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un diagnostic de performance énergétique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un constat de risque d'exposition au plomb pour les immeubles construits avant le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1949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le cas échéant, une copie d'un état mentionnant l'absence ou la présence de matériaux ou de produits de la construction contenant de l'amiante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le cas échéant, un état de l'installation intérieure d'électricité et de gaz, dont l'objet est d'évaluer les risques pouvant porter atteinte à la sécurité des personnes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le cas échéant, un état des risques naturels et technologiques pour le zones couvertes par un plan de prévention des risques technologiques ou par un plan de prévention des risques naturels prévisibles, prescrit ou approuvé, ou dans des zones de sismicité.</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C.</w:t>
      </w:r>
      <w:r>
        <w:rPr>
          <w:rFonts w:ascii="Georgia" w:hAnsi="Georgia" w:cs="Georgia"/>
          <w:sz w:val="28"/>
          <w:sz-cs w:val="28"/>
          <w:spacing w:val="0"/>
          <w:color w:val="141414"/>
        </w:rPr>
        <w:t xml:space="preserve"> Une notice d'information relative aux droits et obligations des locataires et des bailleurs</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D.</w:t>
      </w:r>
      <w:r>
        <w:rPr>
          <w:rFonts w:ascii="Georgia" w:hAnsi="Georgia" w:cs="Georgia"/>
          <w:sz w:val="28"/>
          <w:sz-cs w:val="28"/>
          <w:spacing w:val="0"/>
          <w:color w:val="141414"/>
        </w:rPr>
        <w:t xml:space="preserve"> Un état des lieux, un inventaire et un état détaillé du mobilier</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E.</w:t>
      </w:r>
      <w:r>
        <w:rPr>
          <w:rFonts w:ascii="Georgia" w:hAnsi="Georgia" w:cs="Georgia"/>
          <w:sz w:val="28"/>
          <w:sz-cs w:val="28"/>
          <w:spacing w:val="0"/>
          <w:color w:val="141414"/>
        </w:rPr>
        <w:t xml:space="preserve"> Le cas échéant, une autorisation préalable de mise en location</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F.</w:t>
      </w:r>
      <w:r>
        <w:rPr>
          <w:rFonts w:ascii="Georgia" w:hAnsi="Georgia" w:cs="Georgia"/>
          <w:sz w:val="28"/>
          <w:sz-cs w:val="28"/>
          <w:spacing w:val="0"/>
          <w:color w:val="141414"/>
        </w:rPr>
        <w:t xml:space="preserve"> Le cas échéant, les références aux loyers habituellement constatés dans le voisinage pour des logements comparables</w:t>
      </w:r>
    </w:p>
    <w:p>
      <w:pPr>
        <w:jc w:val="both"/>
        <w:spacing w:after="106"/>
      </w:pPr>
      <w:r>
        <w:rPr>
          <w:rFonts w:ascii="Georgia" w:hAnsi="Georgia" w:cs="Georgia"/>
          <w:sz w:val="28"/>
          <w:sz-cs w:val="28"/>
          <w:i/>
          <w:spacing w:val="0"/>
          <w:color w:val="141414"/>
        </w:rPr>
        <w:t xml:space="preserve">Annexe complémentaire (hors liste réglementaire, jointe à titre pratique) :</w:t>
      </w:r>
      <w:r>
        <w:rPr>
          <w:rFonts w:ascii="Georgia" w:hAnsi="Georgia" w:cs="Georgia"/>
          <w:sz w:val="28"/>
          <w:sz-cs w:val="28"/>
          <w:spacing w:val="0"/>
          <w:color w:val="141414"/>
        </w:rPr>
        <w:t xml:space="preserve"/>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Grille de vétusté</w:t>
      </w:r>
    </w:p>
    <w:p>
      <w:pPr>
        <w:jc w:val="both"/>
        <w:spacing w:after="213"/>
      </w:pPr>
      <w:r>
        <w:rPr>
          <w:rFonts w:ascii="Georgia" w:hAnsi="Georgia" w:cs="Georgia"/>
          <w:sz w:val="26"/>
          <w:sz-cs w:val="26"/>
          <w:spacing w:val="0"/>
          <w:color w:val="141414"/>
        </w:rPr>
        <w:t xml:space="preserve">Fait à […], le […], en autant d'exemplaires originaux que de parties.</w:t>
      </w:r>
    </w:p>
    <w:p>
      <w:pPr/>
      <w:r>
        <w:rPr>
          <w:rFonts w:ascii="Helvetica Neue" w:hAnsi="Helvetica Neue" w:cs="Helvetica Neue"/>
          <w:sz w:val="22"/>
          <w:sz-cs w:val="22"/>
          <w:b/>
          <w:spacing w:val="0"/>
          <w:color w:val="775A2D"/>
        </w:rPr>
        <w:t xml:space="preserve">LE BAILLEUR</w:t>
      </w:r>
    </w:p>
    <w:p>
      <w:pPr/>
      <w:r>
        <w:rPr>
          <w:rFonts w:ascii="Georgia" w:hAnsi="Georgia" w:cs="Georgia"/>
          <w:sz w:val="25"/>
          <w:sz-cs w:val="25"/>
          <w:spacing w:val="0"/>
          <w:color w:val="141414"/>
        </w:rPr>
        <w:t xml:space="preserve">Le […], à […]</w:t>
      </w:r>
    </w:p>
    <w:p>
      <w:pPr/>
      <w:r>
        <w:rPr>
          <w:rFonts w:ascii="Georgia" w:hAnsi="Georgia" w:cs="Georgia"/>
          <w:sz w:val="25"/>
          <w:sz-cs w:val="25"/>
          <w:spacing w:val="0"/>
          <w:color w:val="141414"/>
        </w:rPr>
        <w:t xml:space="preserve"/>
      </w:r>
    </w:p>
    <w:p>
      <w:pPr/>
      <w:r>
        <w:rPr>
          <w:rFonts w:ascii="Georgia" w:hAnsi="Georgia" w:cs="Georgia"/>
          <w:sz w:val="25"/>
          <w:sz-cs w:val="25"/>
          <w:spacing w:val="0"/>
          <w:color w:val="141414"/>
        </w:rPr>
        <w:t xml:space="preserve"/>
      </w:r>
    </w:p>
    <w:p>
      <w:pPr/>
      <w:r>
        <w:rPr>
          <w:rFonts w:ascii="Georgia" w:hAnsi="Georgia" w:cs="Georgia"/>
          <w:sz w:val="25"/>
          <w:sz-cs w:val="25"/>
          <w:i/>
          <w:spacing w:val="0"/>
          <w:color w:val="141414"/>
        </w:rPr>
        <w:t xml:space="preserve">Signature</w:t>
      </w:r>
      <w:r>
        <w:rPr>
          <w:rFonts w:ascii="Georgia" w:hAnsi="Georgia" w:cs="Georgia"/>
          <w:sz w:val="25"/>
          <w:sz-cs w:val="25"/>
          <w:spacing w:val="0"/>
          <w:color w:val="141414"/>
        </w:rPr>
        <w:t xml:space="preserve"> </w:t>
      </w:r>
      <w:r>
        <w:rPr>
          <w:rFonts w:ascii="Georgia" w:hAnsi="Georgia" w:cs="Georgia"/>
          <w:sz w:val="21"/>
          <w:sz-cs w:val="21"/>
          <w:spacing w:val="0"/>
          <w:color w:val="757575"/>
        </w:rPr>
        <w:t xml:space="preserve">(ou de son mandataire, le cas échéant)</w:t>
      </w:r>
      <w:r>
        <w:rPr>
          <w:rFonts w:ascii="Georgia" w:hAnsi="Georgia" w:cs="Georgia"/>
          <w:sz w:val="25"/>
          <w:sz-cs w:val="25"/>
          <w:spacing w:val="0"/>
          <w:color w:val="141414"/>
        </w:rPr>
        <w:t xml:space="preserve"/>
      </w:r>
    </w:p>
    <w:p>
      <w:pPr/>
      <w:r>
        <w:rPr>
          <w:rFonts w:ascii="Helvetica Neue" w:hAnsi="Helvetica Neue" w:cs="Helvetica Neue"/>
          <w:sz w:val="22"/>
          <w:sz-cs w:val="22"/>
          <w:b/>
          <w:spacing w:val="0"/>
          <w:color w:val="775A2D"/>
        </w:rPr>
        <w:t xml:space="preserve">LE LOCATAIRE</w:t>
      </w:r>
    </w:p>
    <w:p>
      <w:pPr/>
      <w:r>
        <w:rPr>
          <w:rFonts w:ascii="Georgia" w:hAnsi="Georgia" w:cs="Georgia"/>
          <w:sz w:val="25"/>
          <w:sz-cs w:val="25"/>
          <w:spacing w:val="0"/>
          <w:color w:val="141414"/>
        </w:rPr>
        <w:t xml:space="preserve">Le […], à […]</w:t>
      </w:r>
    </w:p>
    <w:p>
      <w:pPr/>
      <w:r>
        <w:rPr>
          <w:rFonts w:ascii="Georgia" w:hAnsi="Georgia" w:cs="Georgia"/>
          <w:sz w:val="25"/>
          <w:sz-cs w:val="25"/>
          <w:spacing w:val="0"/>
          <w:color w:val="141414"/>
        </w:rPr>
        <w:t xml:space="preserve"/>
      </w:r>
    </w:p>
    <w:p>
      <w:pPr/>
      <w:r>
        <w:rPr>
          <w:rFonts w:ascii="Georgia" w:hAnsi="Georgia" w:cs="Georgia"/>
          <w:sz w:val="25"/>
          <w:sz-cs w:val="25"/>
          <w:spacing w:val="0"/>
          <w:color w:val="141414"/>
        </w:rPr>
        <w:t xml:space="preserve"/>
      </w:r>
    </w:p>
    <w:p>
      <w:pPr/>
      <w:r>
        <w:rPr>
          <w:rFonts w:ascii="Georgia" w:hAnsi="Georgia" w:cs="Georgia"/>
          <w:sz w:val="25"/>
          <w:sz-cs w:val="25"/>
          <w:i/>
          <w:spacing w:val="0"/>
          <w:color w:val="141414"/>
        </w:rPr>
        <w:t xml:space="preserve">Signature</w:t>
      </w:r>
      <w:r>
        <w:rPr>
          <w:rFonts w:ascii="Georgia" w:hAnsi="Georgia" w:cs="Georgia"/>
          <w:sz w:val="25"/>
          <w:sz-cs w:val="25"/>
          <w:spacing w:val="0"/>
          <w:color w:val="141414"/>
        </w:rPr>
        <w:t xml:space="preserve"/>
      </w:r>
    </w:p>
    <w:p>
      <w:pPr>
        <w:jc w:val="both"/>
      </w:pPr>
      <w:r>
        <w:rPr>
          <w:rFonts w:ascii="Georgia" w:hAnsi="Georgia" w:cs="Georgia"/>
          <w:sz w:val="21"/>
          <w:sz-cs w:val="21"/>
          <w:b/>
          <w:spacing w:val="0"/>
          <w:color w:val="535353"/>
        </w:rPr>
        <w:t xml:space="preserve">Notes</w:t>
      </w:r>
      <w:r>
        <w:rPr>
          <w:rFonts w:ascii="Georgia" w:hAnsi="Georgia" w:cs="Georgia"/>
          <w:sz w:val="21"/>
          <w:sz-cs w:val="21"/>
          <w:spacing w:val="0"/>
          <w:color w:val="535353"/>
        </w:rPr>
        <w:t xml:space="preserve"> — (1) Préciser si la personne morale est une société civile constituée exclusivement entre parents et alliés jusqu'au quatrième degré inclus. (2) A reproduire si pluralité de bailleur. (3) Mention obligatoire s'appliquant aux professionnels exerçant une activité mentionnée à l'article 1</w:t>
      </w:r>
      <w:r>
        <w:rPr>
          <w:rFonts w:ascii="Georgia" w:hAnsi="Georgia" w:cs="Georgia"/>
          <w:sz w:val="17"/>
          <w:sz-cs w:val="17"/>
          <w:vertAlign w:val="superscript"/>
          <w:spacing w:val="0"/>
          <w:color w:val="535353"/>
        </w:rPr>
        <w:t xml:space="preserve">er</w:t>
      </w:r>
      <w:r>
        <w:rPr>
          <w:rFonts w:ascii="Georgia" w:hAnsi="Georgia" w:cs="Georgia"/>
          <w:sz w:val="21"/>
          <w:sz-cs w:val="21"/>
          <w:spacing w:val="0"/>
          <w:color w:val="535353"/>
        </w:rPr>
        <w:t xml:space="preserve"> de la loi n° 70-9 du 2 janvier 1970 réglementant les conditions d'exercice des activités relatives à certaines opérations portant sur les immeubles et les fonds de commerce. (4) Si chauffage collectif, préciser les modalités de répartition de la consommation du locataire. (5) En cas de production collective, préciser les modalités de répartition de la consommation du locataire. (6) Lorsqu'un complément de loyer est appliqué, le loyer mensuel s'entend comme la somme du loyer de base et de ce complément. (7) Zones d'urbanisation continue de plus de 50 000 habitants où il existe un déséquilibre marqué entre l'offre et la demande de logements, entraînant des difficultés sérieuses d'accès au logement sur l'ensemble du parc résidentiel telles que définies par décret. (8) Mention obligatoire si le précédent locataire a quitté le logement moins de dix-huit mois avant la signature du bail. (9) Si les parties conviennent d'un forfait de charges et de sa révision annuelle, ce forfait est révisé dans les mêmes conditions que le loyer principal. (10) Au cours de l'exécution du contrat de location et dans les conditions prévues par la loi, les colocataires peuvent provoquer la résiliation de l'assurance souscrite par le bailleur pour leur compte. (11) Correspond au montant de la prime d'assurance annuelle, éventuellement majoré dans la limite d'un montant fixé par décret en Conseil d'Etat. (12) Paiement mensuel de droit à tout moment à la demande du locataire. (13) Le cas échéant, préciser par ailleurs le montant des travaux d'amélioration effectués au cours des six derniers mois. (14) Clause invalide pour les travaux de mise en conformité aux caractéristiques de décence.</w:t>
      </w:r>
    </w:p>
    <w:sectPr>
      <w:pgSz w:w="11906" w:h="16838"/>
      <w:pgMar w:top="1168" w:right="1242" w:bottom="850" w:left="1247" w:header="709" w:footer="400" w:gutter="0"/>
      <w:footerReference w:type="default" r:id="rIdFooter"/>
    </w:sectPr>
  </w:body>
</w:document>
</file>

<file path=word/footer1.xml><?xml version="1.0" encoding="utf-8"?>
<w:ftr xmlns:w="http://schemas.openxmlformats.org/wordprocessingml/2006/main">
  <w:p>
    <w:pPr>
      <w:jc w:val="center"/>
    </w:pPr>
    <w:r>
      <w:rPr>
        <w:rFonts w:ascii="Georgia" w:hAnsi="Georgia" w:cs="Georgia"/>
        <w:sz w:val="14"/>
        <w:sz-cs w:val="14"/>
        <w:color w:val="878787"/>
      </w:rPr>
      <w:t xml:space="preserve">Document généré via Assetimmo · assetimmo.fr</w:t>
    </w:r>
  </w:p>
</w:ftr>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 Id="rIdFooter" Type="http://schemas.openxmlformats.org/officeDocument/2006/relationships/footer" Target="footer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CocoaOOXMLWriter/2685.5</generator>
</meta>
</file>