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rPr>
          <w:rFonts w:ascii="Helvetica Neue" w:hAnsi="Helvetica Neue"/>
          <w:b/>
          <w:i w:val="0"/>
          <w:color w:val="141414"/>
          <w:sz w:val="35"/>
        </w:rPr>
        <w:t>BAIL INDIVIDUEL DE COLOCATION</w:t>
      </w:r>
    </w:p>
    <w:p>
      <w:pPr>
        <w:spacing w:before="0" w:after="480"/>
        <w:jc w:val="center"/>
      </w:pPr>
      <w:r>
        <w:rPr>
          <w:rFonts w:ascii="Georgia" w:hAnsi="Georgia"/>
          <w:b w:val="0"/>
          <w:i/>
          <w:color w:val="434343"/>
          <w:sz w:val="19"/>
        </w:rPr>
        <w:t>Location d'une partie privative d'un logement, avec parties communes partagées</w:t>
      </w:r>
    </w:p>
    <w:p>
      <w:pPr>
        <w:spacing w:before="0" w:after="0"/>
      </w:pPr>
      <w:r>
        <w:br/>
      </w:r>
    </w:p>
    <w:p>
      <w:pPr>
        <w:spacing w:before="0" w:after="195"/>
      </w:pPr>
      <w:r>
        <w:rPr>
          <w:rFonts w:ascii="Georgia" w:hAnsi="Georgia"/>
          <w:b w:val="0"/>
          <w:i w:val="0"/>
          <w:color w:val="141414"/>
          <w:sz w:val="20"/>
        </w:rPr>
        <w:t xml:space="preserve">Type de location : </w:t>
      </w:r>
      <w:r>
        <w:rPr>
          <w:rFonts w:ascii="Apple Symbols" w:hAnsi="Apple Symbols"/>
          <w:b w:val="0"/>
          <w:i w:val="0"/>
          <w:color w:val="141414"/>
          <w:sz w:val="25"/>
        </w:rPr>
        <w:t>☐</w:t>
      </w:r>
      <w:r>
        <w:rPr>
          <w:rFonts w:ascii="Georgia" w:hAnsi="Georgia"/>
          <w:b w:val="0"/>
          <w:i w:val="0"/>
          <w:color w:val="141414"/>
          <w:sz w:val="20"/>
        </w:rPr>
        <w:t xml:space="preserve"> Nu    </w:t>
      </w:r>
      <w:r>
        <w:rPr>
          <w:rFonts w:ascii="Apple Symbols" w:hAnsi="Apple Symbols"/>
          <w:b w:val="0"/>
          <w:i w:val="0"/>
          <w:color w:val="141414"/>
          <w:sz w:val="25"/>
        </w:rPr>
        <w:t>☐</w:t>
      </w:r>
      <w:r>
        <w:rPr>
          <w:rFonts w:ascii="Georgia" w:hAnsi="Georgia"/>
          <w:b w:val="0"/>
          <w:i w:val="0"/>
          <w:color w:val="141414"/>
          <w:sz w:val="20"/>
        </w:rPr>
        <w:t xml:space="preserve"> Meublé    </w:t>
      </w:r>
      <w:r>
        <w:rPr>
          <w:rFonts w:ascii="Apple Symbols" w:hAnsi="Apple Symbols"/>
          <w:b w:val="0"/>
          <w:i w:val="0"/>
          <w:color w:val="141414"/>
          <w:sz w:val="25"/>
        </w:rPr>
        <w:t>☐</w:t>
      </w:r>
      <w:r>
        <w:rPr>
          <w:rFonts w:ascii="Georgia" w:hAnsi="Georgia"/>
          <w:b w:val="0"/>
          <w:i w:val="0"/>
          <w:color w:val="141414"/>
          <w:sz w:val="20"/>
        </w:rPr>
        <w:t xml:space="preserve"> Meublé, locataire étudiant (durée 9 mois)</w:t>
      </w:r>
    </w:p>
    <w:p>
      <w:pPr>
        <w:spacing w:before="0" w:after="31"/>
      </w:pPr>
      <w:r>
        <w:rPr>
          <w:rFonts w:ascii="Georgia" w:hAnsi="Georgia"/>
          <w:b w:val="0"/>
          <w:i w:val="0"/>
          <w:color w:val="141414"/>
          <w:sz w:val="20"/>
        </w:rPr>
        <w:t>Le présent contrat ne lie que le bailleur et le colocataire signataire. Chaque colocataire du logement signe un contrat distinct — il n'existe aucune solidarité entre eux (voir rubrique XII).</w:t>
      </w:r>
    </w:p>
    <w:p>
      <w:pPr>
        <w:spacing w:before="200" w:after="257"/>
        <w:pBdr>
          <w:bottom w:val="single" w:sz="6" w:space="2" w:color="8A6D3B"/>
        </w:pBdr>
        <w:keepNext w:val="true"/>
        <w:keepLines w:val="true"/>
      </w:pPr>
      <w:r>
        <w:rPr>
          <w:rFonts w:ascii="Helvetica Neue" w:hAnsi="Helvetica Neue"/>
          <w:b/>
          <w:i w:val="0"/>
          <w:color w:val="141414"/>
          <w:sz w:val="22"/>
        </w:rPr>
        <w:t>I. Désignation des parties</w:t>
      </w:r>
    </w:p>
    <w:p>
      <w:pPr>
        <w:spacing w:before="0" w:after="156"/>
      </w:pPr>
      <w:r>
        <w:rPr>
          <w:rFonts w:ascii="Georgia" w:hAnsi="Georgia"/>
          <w:b w:val="0"/>
          <w:i/>
          <w:color w:val="2C2C2C"/>
          <w:sz w:val="19"/>
        </w:rPr>
        <w:t>Bailleur</w:t>
      </w:r>
    </w:p>
    <w:p>
      <w:pPr>
        <w:spacing w:before="0" w:after="116"/>
      </w:pPr>
      <w:r>
        <w:rPr>
          <w:rFonts w:ascii="Georgia" w:hAnsi="Georgia"/>
          <w:b w:val="0"/>
          <w:i w:val="0"/>
          <w:color w:val="141414"/>
          <w:sz w:val="20"/>
        </w:rPr>
        <w:t>Nom et prénom, ou dénomination : […]</w:t>
      </w:r>
    </w:p>
    <w:p>
      <w:pPr>
        <w:spacing w:before="0" w:after="105"/>
      </w:pPr>
      <w:r>
        <w:rPr>
          <w:rFonts w:ascii="Georgia" w:hAnsi="Georgia"/>
          <w:b w:val="0"/>
          <w:i w:val="0"/>
          <w:color w:val="141414"/>
          <w:sz w:val="20"/>
        </w:rPr>
        <w:t>Domicile ou siège social : […]</w:t>
      </w:r>
    </w:p>
    <w:p>
      <w:pPr>
        <w:spacing w:before="0" w:after="144"/>
      </w:pPr>
      <w:r>
        <w:rPr>
          <w:rFonts w:ascii="Georgia" w:hAnsi="Georgia"/>
          <w:b w:val="0"/>
          <w:i w:val="0"/>
          <w:color w:val="141414"/>
          <w:sz w:val="20"/>
        </w:rPr>
        <w:t xml:space="preserve">Qualité : personne physique </w:t>
      </w:r>
      <w:r>
        <w:rPr>
          <w:rFonts w:ascii="Apple Symbols" w:hAnsi="Apple Symbols"/>
          <w:b w:val="0"/>
          <w:i w:val="0"/>
          <w:color w:val="141414"/>
          <w:sz w:val="25"/>
        </w:rPr>
        <w:t>☐</w:t>
      </w:r>
      <w:r>
        <w:rPr>
          <w:rFonts w:ascii="Georgia" w:hAnsi="Georgia"/>
          <w:b w:val="0"/>
          <w:i w:val="0"/>
          <w:color w:val="141414"/>
          <w:sz w:val="20"/>
        </w:rPr>
        <w:t xml:space="preserve">   personne morale </w:t>
      </w:r>
      <w:r>
        <w:rPr>
          <w:rFonts w:ascii="Apple Symbols" w:hAnsi="Apple Symbols"/>
          <w:b w:val="0"/>
          <w:i w:val="0"/>
          <w:color w:val="141414"/>
          <w:sz w:val="25"/>
        </w:rPr>
        <w:t>☐</w:t>
      </w:r>
    </w:p>
    <w:p>
      <w:pPr>
        <w:spacing w:before="0" w:after="184"/>
      </w:pPr>
      <w:r>
        <w:rPr>
          <w:rFonts w:ascii="Georgia" w:hAnsi="Georgia"/>
          <w:b w:val="0"/>
          <w:i/>
          <w:color w:val="2C2C2C"/>
          <w:sz w:val="19"/>
        </w:rPr>
        <w:t>Colocataire (partie au présent contrat)</w:t>
      </w:r>
    </w:p>
    <w:p>
      <w:pPr>
        <w:spacing w:before="0" w:after="88"/>
      </w:pPr>
      <w:r>
        <w:rPr>
          <w:rFonts w:ascii="Georgia" w:hAnsi="Georgia"/>
          <w:b w:val="0"/>
          <w:i w:val="0"/>
          <w:color w:val="141414"/>
          <w:sz w:val="20"/>
        </w:rPr>
        <w:t>Nom et prénom : […]</w:t>
      </w:r>
    </w:p>
    <w:p>
      <w:pPr>
        <w:spacing w:before="0" w:after="82"/>
      </w:pPr>
      <w:r>
        <w:rPr>
          <w:rFonts w:ascii="Georgia" w:hAnsi="Georgia"/>
          <w:b w:val="0"/>
          <w:i w:val="0"/>
          <w:color w:val="141414"/>
          <w:sz w:val="20"/>
        </w:rPr>
        <w:t>Numéro de téléphone portable (facultatif) : […]   Adresse électronique (facultatif) : […]</w:t>
      </w:r>
    </w:p>
    <w:p>
      <w:pPr>
        <w:spacing w:before="0" w:after="480"/>
      </w:pPr>
      <w:r>
        <w:rPr>
          <w:rFonts w:ascii="Georgia" w:hAnsi="Georgia"/>
          <w:b w:val="0"/>
          <w:i/>
          <w:color w:val="434343"/>
          <w:sz w:val="17"/>
        </w:rPr>
        <w:t>Les autres colocataires du logement, parties à des contrats distincts, sont identifiés à titre indicatif : […]</w:t>
      </w:r>
    </w:p>
    <w:p>
      <w:pPr>
        <w:spacing w:before="200" w:after="331"/>
        <w:pBdr>
          <w:bottom w:val="single" w:sz="6" w:space="2" w:color="8A6D3B"/>
        </w:pBdr>
        <w:keepNext w:val="true"/>
        <w:keepLines w:val="true"/>
      </w:pPr>
      <w:r>
        <w:rPr>
          <w:rFonts w:ascii="Helvetica Neue" w:hAnsi="Helvetica Neue"/>
          <w:b/>
          <w:i w:val="0"/>
          <w:color w:val="141414"/>
          <w:sz w:val="22"/>
        </w:rPr>
        <w:t>II. Objet du contrat</w:t>
      </w:r>
    </w:p>
    <w:p>
      <w:pPr>
        <w:spacing w:before="0" w:after="156"/>
        <w:keepNext w:val="true"/>
        <w:keepLines w:val="true"/>
      </w:pPr>
      <w:r>
        <w:rPr>
          <w:rFonts w:ascii="Helvetica Neue" w:hAnsi="Helvetica Neue"/>
          <w:b/>
          <w:i w:val="0"/>
          <w:color w:val="2C2C2C"/>
          <w:sz w:val="19"/>
        </w:rPr>
        <w:t>A. Le logement dans son ensemble</w:t>
      </w:r>
    </w:p>
    <w:p>
      <w:pPr>
        <w:spacing w:before="0" w:after="105"/>
      </w:pPr>
      <w:r>
        <w:rPr>
          <w:rFonts w:ascii="Georgia" w:hAnsi="Georgia"/>
          <w:b w:val="0"/>
          <w:i w:val="0"/>
          <w:color w:val="141414"/>
          <w:sz w:val="20"/>
        </w:rPr>
        <w:t>Localisation du logement : […]</w:t>
      </w:r>
    </w:p>
    <w:p>
      <w:pPr>
        <w:spacing w:before="0" w:after="105"/>
      </w:pPr>
      <w:r>
        <w:rPr>
          <w:rFonts w:ascii="Georgia" w:hAnsi="Georgia"/>
          <w:b w:val="0"/>
          <w:i w:val="0"/>
          <w:color w:val="141414"/>
          <w:sz w:val="20"/>
        </w:rPr>
        <w:t>Identifiant fiscal du logement : […]</w:t>
      </w:r>
    </w:p>
    <w:p>
      <w:pPr>
        <w:spacing w:before="0" w:after="42"/>
      </w:pPr>
      <w:r>
        <w:rPr>
          <w:rFonts w:ascii="Georgia" w:hAnsi="Georgia"/>
          <w:b w:val="0"/>
          <w:i w:val="0"/>
          <w:color w:val="141414"/>
          <w:sz w:val="20"/>
        </w:rPr>
        <w:t xml:space="preserve">Type d'habitat : immeuble collectif </w:t>
      </w:r>
      <w:r>
        <w:rPr>
          <w:rFonts w:ascii="Apple Symbols" w:hAnsi="Apple Symbols"/>
          <w:b w:val="0"/>
          <w:i w:val="0"/>
          <w:color w:val="141414"/>
          <w:sz w:val="25"/>
        </w:rPr>
        <w:t>☐</w:t>
      </w:r>
      <w:r>
        <w:rPr>
          <w:rFonts w:ascii="Georgia" w:hAnsi="Georgia"/>
          <w:b w:val="0"/>
          <w:i w:val="0"/>
          <w:color w:val="141414"/>
          <w:sz w:val="20"/>
        </w:rPr>
        <w:t xml:space="preserve">   individuel </w:t>
      </w:r>
      <w:r>
        <w:rPr>
          <w:rFonts w:ascii="Apple Symbols" w:hAnsi="Apple Symbols"/>
          <w:b w:val="0"/>
          <w:i w:val="0"/>
          <w:color w:val="141414"/>
          <w:sz w:val="25"/>
        </w:rPr>
        <w:t>☐</w:t>
      </w:r>
      <w:r>
        <w:rPr>
          <w:rFonts w:ascii="Georgia" w:hAnsi="Georgia"/>
          <w:b w:val="0"/>
          <w:i w:val="0"/>
          <w:color w:val="141414"/>
          <w:sz w:val="20"/>
        </w:rPr>
        <w:t xml:space="preserve">   Régime juridique : monopropriété </w:t>
      </w:r>
      <w:r>
        <w:rPr>
          <w:rFonts w:ascii="Apple Symbols" w:hAnsi="Apple Symbols"/>
          <w:b w:val="0"/>
          <w:i w:val="0"/>
          <w:color w:val="141414"/>
          <w:sz w:val="25"/>
        </w:rPr>
        <w:t>☐</w:t>
      </w:r>
      <w:r>
        <w:rPr>
          <w:rFonts w:ascii="Georgia" w:hAnsi="Georgia"/>
          <w:b w:val="0"/>
          <w:i w:val="0"/>
          <w:color w:val="141414"/>
          <w:sz w:val="20"/>
        </w:rPr>
        <w:t xml:space="preserve">   copropriété </w:t>
      </w:r>
      <w:r>
        <w:rPr>
          <w:rFonts w:ascii="Apple Symbols" w:hAnsi="Apple Symbols"/>
          <w:b w:val="0"/>
          <w:i w:val="0"/>
          <w:color w:val="141414"/>
          <w:sz w:val="25"/>
        </w:rPr>
        <w:t>☐</w:t>
      </w:r>
    </w:p>
    <w:p>
      <w:pPr>
        <w:spacing w:before="0" w:after="195"/>
      </w:pPr>
      <w:r>
        <w:rPr>
          <w:rFonts w:ascii="Georgia" w:hAnsi="Georgia"/>
          <w:b w:val="0"/>
          <w:i w:val="0"/>
          <w:color w:val="141414"/>
          <w:sz w:val="20"/>
        </w:rPr>
        <w:t xml:space="preserve">Période de construction : avant 1949 </w:t>
      </w:r>
      <w:r>
        <w:rPr>
          <w:rFonts w:ascii="Apple Symbols" w:hAnsi="Apple Symbols"/>
          <w:b w:val="0"/>
          <w:i w:val="0"/>
          <w:color w:val="141414"/>
          <w:sz w:val="25"/>
        </w:rPr>
        <w:t>☐</w:t>
      </w:r>
      <w:r>
        <w:rPr>
          <w:rFonts w:ascii="Georgia" w:hAnsi="Georgia"/>
          <w:b w:val="0"/>
          <w:i w:val="0"/>
          <w:color w:val="141414"/>
          <w:sz w:val="20"/>
        </w:rPr>
        <w:t xml:space="preserve">   1949-1974 </w:t>
      </w:r>
      <w:r>
        <w:rPr>
          <w:rFonts w:ascii="Apple Symbols" w:hAnsi="Apple Symbols"/>
          <w:b w:val="0"/>
          <w:i w:val="0"/>
          <w:color w:val="141414"/>
          <w:sz w:val="25"/>
        </w:rPr>
        <w:t>☐</w:t>
      </w:r>
      <w:r>
        <w:rPr>
          <w:rFonts w:ascii="Georgia" w:hAnsi="Georgia"/>
          <w:b w:val="0"/>
          <w:i w:val="0"/>
          <w:color w:val="141414"/>
          <w:sz w:val="20"/>
        </w:rPr>
        <w:t xml:space="preserve">   1975-1989 </w:t>
      </w:r>
      <w:r>
        <w:rPr>
          <w:rFonts w:ascii="Apple Symbols" w:hAnsi="Apple Symbols"/>
          <w:b w:val="0"/>
          <w:i w:val="0"/>
          <w:color w:val="141414"/>
          <w:sz w:val="25"/>
        </w:rPr>
        <w:t>☐</w:t>
      </w:r>
      <w:r>
        <w:rPr>
          <w:rFonts w:ascii="Georgia" w:hAnsi="Georgia"/>
          <w:b w:val="0"/>
          <w:i w:val="0"/>
          <w:color w:val="141414"/>
          <w:sz w:val="20"/>
        </w:rPr>
        <w:t xml:space="preserve">   1989-2005 </w:t>
      </w:r>
      <w:r>
        <w:rPr>
          <w:rFonts w:ascii="Apple Symbols" w:hAnsi="Apple Symbols"/>
          <w:b w:val="0"/>
          <w:i w:val="0"/>
          <w:color w:val="141414"/>
          <w:sz w:val="25"/>
        </w:rPr>
        <w:t>☐</w:t>
      </w:r>
      <w:r>
        <w:rPr>
          <w:rFonts w:ascii="Georgia" w:hAnsi="Georgia"/>
          <w:b w:val="0"/>
          <w:i w:val="0"/>
          <w:color w:val="141414"/>
          <w:sz w:val="20"/>
        </w:rPr>
        <w:t xml:space="preserve">   depuis 2005 </w:t>
      </w:r>
      <w:r>
        <w:rPr>
          <w:rFonts w:ascii="Apple Symbols" w:hAnsi="Apple Symbols"/>
          <w:b w:val="0"/>
          <w:i w:val="0"/>
          <w:color w:val="141414"/>
          <w:sz w:val="25"/>
        </w:rPr>
        <w:t>☐</w:t>
      </w:r>
    </w:p>
    <w:p>
      <w:pPr>
        <w:spacing w:before="0" w:after="105"/>
      </w:pPr>
      <w:r>
        <w:rPr>
          <w:rFonts w:ascii="Georgia" w:hAnsi="Georgia"/>
          <w:b w:val="0"/>
          <w:i w:val="0"/>
          <w:color w:val="141414"/>
          <w:sz w:val="20"/>
        </w:rPr>
        <w:t>Surface habitable totale du logement : […] m²   Nombre de colocataires : […]</w:t>
      </w:r>
    </w:p>
    <w:p>
      <w:pPr>
        <w:spacing w:before="0" w:after="42"/>
      </w:pPr>
      <w:r>
        <w:rPr>
          <w:rFonts w:ascii="Georgia" w:hAnsi="Georgia"/>
          <w:b w:val="0"/>
          <w:i w:val="0"/>
          <w:color w:val="141414"/>
          <w:sz w:val="20"/>
        </w:rPr>
        <w:t xml:space="preserve">Modalité de production de chauffage : individuel </w:t>
      </w:r>
      <w:r>
        <w:rPr>
          <w:rFonts w:ascii="Apple Symbols" w:hAnsi="Apple Symbols"/>
          <w:b w:val="0"/>
          <w:i w:val="0"/>
          <w:color w:val="141414"/>
          <w:sz w:val="25"/>
        </w:rPr>
        <w:t>☐</w:t>
      </w:r>
      <w:r>
        <w:rPr>
          <w:rFonts w:ascii="Georgia" w:hAnsi="Georgia"/>
          <w:b w:val="0"/>
          <w:i w:val="0"/>
          <w:color w:val="141414"/>
          <w:sz w:val="20"/>
        </w:rPr>
        <w:t xml:space="preserve">   collectif </w:t>
      </w:r>
      <w:r>
        <w:rPr>
          <w:rFonts w:ascii="Apple Symbols" w:hAnsi="Apple Symbols"/>
          <w:b w:val="0"/>
          <w:i w:val="0"/>
          <w:color w:val="141414"/>
          <w:sz w:val="25"/>
        </w:rPr>
        <w:t>☐</w:t>
      </w:r>
      <w:r>
        <w:rPr>
          <w:rFonts w:ascii="Georgia" w:hAnsi="Georgia"/>
          <w:b w:val="0"/>
          <w:i w:val="0"/>
          <w:color w:val="141414"/>
          <w:sz w:val="20"/>
        </w:rPr>
        <w:t xml:space="preserve">   Eau chaude sanitaire : individuelle </w:t>
      </w:r>
      <w:r>
        <w:rPr>
          <w:rFonts w:ascii="Apple Symbols" w:hAnsi="Apple Symbols"/>
          <w:b w:val="0"/>
          <w:i w:val="0"/>
          <w:color w:val="141414"/>
          <w:sz w:val="25"/>
        </w:rPr>
        <w:t>☐</w:t>
      </w:r>
      <w:r>
        <w:rPr>
          <w:rFonts w:ascii="Georgia" w:hAnsi="Georgia"/>
          <w:b w:val="0"/>
          <w:i w:val="0"/>
          <w:color w:val="141414"/>
          <w:sz w:val="20"/>
        </w:rPr>
        <w:t xml:space="preserve">   collective </w:t>
      </w:r>
      <w:r>
        <w:rPr>
          <w:rFonts w:ascii="Apple Symbols" w:hAnsi="Apple Symbols"/>
          <w:b w:val="0"/>
          <w:i w:val="0"/>
          <w:color w:val="141414"/>
          <w:sz w:val="25"/>
        </w:rPr>
        <w:t>☐</w:t>
      </w:r>
    </w:p>
    <w:p>
      <w:pPr>
        <w:spacing w:before="0" w:after="122"/>
      </w:pPr>
      <w:r>
        <w:rPr>
          <w:rFonts w:ascii="Georgia" w:hAnsi="Georgia"/>
          <w:b w:val="0"/>
          <w:i w:val="0"/>
          <w:color w:val="141414"/>
          <w:sz w:val="20"/>
        </w:rPr>
        <w:t>Niveau de performance du logement (DPE) : […]</w:t>
      </w:r>
    </w:p>
    <w:p>
      <w:pPr>
        <w:spacing w:before="0" w:after="25"/>
      </w:pPr>
      <w:r>
        <w:rPr>
          <w:rFonts w:ascii="Georgia" w:hAnsi="Georgia"/>
          <w:b w:val="0"/>
          <w:i w:val="0"/>
          <w:color w:val="141414"/>
          <w:sz w:val="20"/>
        </w:rPr>
        <w:t>Montant estimé des dépenses annuelles d'énergie du logement (pour information) : […] € (année de référence des prix : […])</w:t>
      </w:r>
    </w:p>
    <w:p>
      <w:pPr>
        <w:spacing w:before="0" w:after="60"/>
      </w:pPr>
      <w:r>
        <w:rPr>
          <w:rFonts w:ascii="Georgia" w:hAnsi="Georgia"/>
          <w:b w:val="0"/>
          <w:i/>
          <w:color w:val="434343"/>
          <w:sz w:val="17"/>
        </w:rPr>
        <w:t xml:space="preserve">Le cas échéant, </w:t>
      </w:r>
      <w:r>
        <w:rPr>
          <w:rFonts w:ascii="Georgia" w:hAnsi="Georgia"/>
          <w:b w:val="0"/>
          <w:i/>
          <w:color w:val="141414"/>
          <w:sz w:val="17"/>
        </w:rPr>
        <w:t>servitude de résidence principale</w:t>
      </w:r>
      <w:r>
        <w:rPr>
          <w:rFonts w:ascii="Georgia" w:hAnsi="Georgia"/>
          <w:b w:val="0"/>
          <w:i/>
          <w:color w:val="434343"/>
          <w:sz w:val="17"/>
        </w:rPr>
        <w:t xml:space="preserve"> (art. L. 151-14-1 du code de l'urbanisme) : le logement est à usage exclusif de résidence principale au sens de l'article 2 de la loi du 6 juillet 1989.</w:t>
      </w:r>
    </w:p>
    <w:p>
      <w:pPr>
        <w:spacing w:before="0" w:after="156"/>
        <w:keepNext w:val="true"/>
        <w:keepLines w:val="true"/>
      </w:pPr>
      <w:r>
        <w:rPr>
          <w:rFonts w:ascii="Helvetica Neue" w:hAnsi="Helvetica Neue"/>
          <w:b/>
          <w:i w:val="0"/>
          <w:color w:val="2C2C2C"/>
          <w:sz w:val="19"/>
        </w:rPr>
        <w:t>B. Local privatif du colocataire</w:t>
      </w:r>
    </w:p>
    <w:p>
      <w:pPr>
        <w:spacing w:before="0" w:after="105"/>
      </w:pPr>
      <w:r>
        <w:rPr>
          <w:rFonts w:ascii="Georgia" w:hAnsi="Georgia"/>
          <w:b w:val="0"/>
          <w:i w:val="0"/>
          <w:color w:val="141414"/>
          <w:sz w:val="20"/>
        </w:rPr>
        <w:t>Désignation de la pièce louée à titre privatif : […]</w:t>
      </w:r>
    </w:p>
    <w:p>
      <w:pPr>
        <w:spacing w:before="0" w:after="99"/>
      </w:pPr>
      <w:r>
        <w:rPr>
          <w:rFonts w:ascii="Georgia" w:hAnsi="Georgia"/>
          <w:b w:val="0"/>
          <w:i w:val="0"/>
          <w:color w:val="141414"/>
          <w:sz w:val="20"/>
        </w:rPr>
        <w:t>Surface habitable du local privatif : […] m²   Volume habitable : […] m³</w:t>
      </w:r>
    </w:p>
    <w:p>
      <w:pPr>
        <w:spacing w:before="0" w:after="31"/>
      </w:pPr>
      <w:r>
        <w:rPr>
          <w:rFonts w:ascii="Georgia" w:hAnsi="Georgia"/>
          <w:b w:val="0"/>
          <w:i w:val="0"/>
          <w:color w:val="141414"/>
          <w:sz w:val="20"/>
        </w:rPr>
        <w:t>La surface et le volume habitables du local privatif doivent être au moins égaux à 9 m² et 20 m³ (art. 8-1 II, par dérogation aux articles L. 126-17 et L. 126-21 du code de la construction et de l'habitation). En deçà, le local ne peut faire l'objet d'un bail individuel de colocation.</w:t>
      </w:r>
    </w:p>
    <w:p>
      <w:pPr>
        <w:spacing w:before="0" w:after="235"/>
      </w:pPr>
      <w:r>
        <w:rPr>
          <w:rFonts w:ascii="Georgia" w:hAnsi="Georgia"/>
          <w:b w:val="0"/>
          <w:i w:val="0"/>
          <w:color w:val="141414"/>
          <w:sz w:val="20"/>
        </w:rPr>
        <w:t>Équipements privatifs (mobilier, le cas échéant — voir annexe mobilier) : […]</w:t>
      </w:r>
    </w:p>
    <w:p>
      <w:pPr>
        <w:spacing w:before="0" w:after="173"/>
        <w:keepNext w:val="true"/>
        <w:keepLines w:val="true"/>
      </w:pPr>
      <w:r>
        <w:rPr>
          <w:rFonts w:ascii="Helvetica Neue" w:hAnsi="Helvetica Neue"/>
          <w:b/>
          <w:i w:val="0"/>
          <w:color w:val="2C2C2C"/>
          <w:sz w:val="19"/>
        </w:rPr>
        <w:t>C. Parties communes mises à disposition</w:t>
      </w:r>
    </w:p>
    <w:p>
      <w:pPr>
        <w:spacing w:before="0" w:after="48"/>
      </w:pPr>
      <w:r>
        <w:rPr>
          <w:rFonts w:ascii="Georgia" w:hAnsi="Georgia"/>
          <w:b w:val="0"/>
          <w:i w:val="0"/>
          <w:color w:val="141414"/>
          <w:sz w:val="20"/>
        </w:rPr>
        <w:t>Désignation des parties communes du logement partagées avec les autres colocataires : […]</w:t>
      </w:r>
    </w:p>
    <w:p>
      <w:pPr>
        <w:spacing w:before="0" w:after="474"/>
      </w:pPr>
      <w:r>
        <w:rPr>
          <w:rFonts w:ascii="Georgia" w:hAnsi="Georgia"/>
          <w:b w:val="0"/>
          <w:i/>
          <w:color w:val="434343"/>
          <w:sz w:val="17"/>
        </w:rPr>
        <w:t>Exemples : cuisine, séjour, salle de bains, WC, entrée, couloir, cave ou local à vélo commun.</w:t>
      </w:r>
    </w:p>
    <w:p>
      <w:pPr>
        <w:spacing w:before="200" w:after="263"/>
        <w:pBdr>
          <w:bottom w:val="single" w:sz="6" w:space="2" w:color="8A6D3B"/>
        </w:pBdr>
        <w:keepNext w:val="true"/>
        <w:keepLines w:val="true"/>
      </w:pPr>
      <w:r>
        <w:rPr>
          <w:rFonts w:ascii="Helvetica Neue" w:hAnsi="Helvetica Neue"/>
          <w:b/>
          <w:i w:val="0"/>
          <w:color w:val="141414"/>
          <w:sz w:val="22"/>
        </w:rPr>
        <w:t>III. Date de prise d'effet et durée du contrat</w:t>
      </w:r>
    </w:p>
    <w:p>
      <w:pPr>
        <w:spacing w:before="0" w:after="31"/>
      </w:pPr>
      <w:r>
        <w:rPr>
          <w:rFonts w:ascii="Georgia" w:hAnsi="Georgia"/>
          <w:b w:val="0"/>
          <w:i w:val="0"/>
          <w:color w:val="141414"/>
          <w:sz w:val="20"/>
        </w:rPr>
        <w:t>Date de prise d'effet : […]</w:t>
      </w:r>
    </w:p>
    <w:p>
      <w:pPr>
        <w:spacing w:before="0" w:after="184"/>
      </w:pPr>
      <w:r>
        <w:rPr>
          <w:rFonts w:ascii="Georgia" w:hAnsi="Georgia"/>
          <w:b w:val="0"/>
          <w:i w:val="0"/>
          <w:color w:val="141414"/>
          <w:sz w:val="20"/>
        </w:rPr>
        <w:t>Durée du contrat : […]</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47" w:type="dxa"/>
          <w:bottom w:w="34" w:type="dxa"/>
          <w:right w:w="147" w:type="dxa"/>
        </w:tblCellMar>
      </w:tblPr>
      <w:tblGrid>
        <w:gridCol w:w="3135"/>
        <w:gridCol w:w="3140"/>
        <w:gridCol w:w="3140"/>
      </w:tblGrid>
      <w:tr>
        <w:trPr>
          <w:trHeight w:val="629" w:hRule="atLeast"/>
          <w:cantSplit w:val="true"/>
          <w:tblHeader w:val="true"/>
        </w:trPr>
        <w:tc>
          <w:tcPr>
            <w:tcW w:type="dxa" w:w="3138"/>
            <w:tcW w:w="3135" w:type="dxa"/>
            <w:vAlign w:val="center"/>
            <w:shd w:val="clear" w:color="auto" w:fill="F5F3EE"/>
          </w:tcPr>
          <w:p>
            <w:pPr>
              <w:spacing w:before="0" w:after="0"/>
            </w:pPr>
            <w:r>
              <w:rPr>
                <w:rFonts w:ascii="Times" w:hAnsi="Times"/>
                <w:b/>
                <w:i w:val="0"/>
                <w:color w:val="000000"/>
                <w:sz w:val="14"/>
              </w:rPr>
              <w:t>Type</w:t>
            </w:r>
          </w:p>
        </w:tc>
        <w:tc>
          <w:tcPr>
            <w:tcW w:type="dxa" w:w="3138"/>
            <w:tcW w:w="3140" w:type="dxa"/>
            <w:vAlign w:val="center"/>
            <w:shd w:val="clear" w:color="auto" w:fill="F5F3EE"/>
          </w:tcPr>
          <w:p>
            <w:pPr>
              <w:spacing w:before="0" w:after="0"/>
            </w:pPr>
            <w:r>
              <w:rPr>
                <w:rFonts w:ascii="Times" w:hAnsi="Times"/>
                <w:b/>
                <w:i w:val="0"/>
                <w:color w:val="000000"/>
                <w:sz w:val="14"/>
              </w:rPr>
              <w:t>Durée</w:t>
            </w:r>
          </w:p>
        </w:tc>
        <w:tc>
          <w:tcPr>
            <w:tcW w:type="dxa" w:w="3138"/>
            <w:tcW w:w="3140" w:type="dxa"/>
            <w:vAlign w:val="center"/>
            <w:shd w:val="clear" w:color="auto" w:fill="F5F3EE"/>
          </w:tcPr>
          <w:p>
            <w:pPr>
              <w:spacing w:before="0" w:after="0"/>
            </w:pPr>
            <w:r>
              <w:rPr>
                <w:rFonts w:ascii="Times" w:hAnsi="Times"/>
                <w:b/>
                <w:i w:val="0"/>
                <w:color w:val="000000"/>
                <w:sz w:val="14"/>
              </w:rPr>
              <w:t>Reconduction</w:t>
            </w:r>
          </w:p>
        </w:tc>
      </w:tr>
      <w:tr>
        <w:trPr>
          <w:trHeight w:val="629" w:hRule="atLeast"/>
          <w:cantSplit w:val="true"/>
        </w:trPr>
        <w:tc>
          <w:tcPr>
            <w:tcW w:type="dxa" w:w="3138"/>
            <w:tcW w:w="3135" w:type="dxa"/>
            <w:vAlign w:val="center"/>
          </w:tcPr>
          <w:p>
            <w:pPr>
              <w:spacing w:before="0" w:after="0"/>
            </w:pPr>
            <w:r>
              <w:rPr>
                <w:rFonts w:ascii="Georgia" w:hAnsi="Georgia"/>
                <w:b w:val="0"/>
                <w:i w:val="0"/>
                <w:color w:val="141414"/>
                <w:sz w:val="20"/>
              </w:rPr>
              <w:t>Nu</w:t>
            </w:r>
          </w:p>
        </w:tc>
        <w:tc>
          <w:tcPr>
            <w:tcW w:type="dxa" w:w="3138"/>
            <w:tcW w:w="3140" w:type="dxa"/>
            <w:vAlign w:val="center"/>
          </w:tcPr>
          <w:p>
            <w:pPr>
              <w:spacing w:before="0" w:after="0"/>
            </w:pPr>
            <w:r>
              <w:rPr>
                <w:rFonts w:ascii="Times" w:hAnsi="Times"/>
                <w:b/>
                <w:i w:val="0"/>
                <w:color w:val="000000"/>
                <w:sz w:val="14"/>
              </w:rPr>
              <w:t>3 ans (personne physique) / 6 ans (personne morale)</w:t>
            </w:r>
          </w:p>
        </w:tc>
        <w:tc>
          <w:tcPr>
            <w:tcW w:type="dxa" w:w="3138"/>
            <w:tcW w:w="3140" w:type="dxa"/>
            <w:vAlign w:val="center"/>
          </w:tcPr>
          <w:p>
            <w:pPr>
              <w:spacing w:before="0" w:after="0"/>
            </w:pPr>
            <w:r>
              <w:rPr>
                <w:rFonts w:ascii="Times" w:hAnsi="Times"/>
                <w:b/>
                <w:i w:val="0"/>
                <w:color w:val="000000"/>
                <w:sz w:val="14"/>
              </w:rPr>
              <w:t>Tacite, mêmes conditions</w:t>
            </w:r>
          </w:p>
        </w:tc>
      </w:tr>
      <w:tr>
        <w:trPr>
          <w:trHeight w:val="629" w:hRule="atLeast"/>
          <w:cantSplit w:val="true"/>
        </w:trPr>
        <w:tc>
          <w:tcPr>
            <w:tcW w:type="dxa" w:w="3138"/>
            <w:tcW w:w="3135" w:type="dxa"/>
            <w:vAlign w:val="center"/>
          </w:tcPr>
          <w:p>
            <w:pPr>
              <w:spacing w:before="0" w:after="0"/>
            </w:pPr>
            <w:r>
              <w:rPr>
                <w:rFonts w:ascii="Georgia" w:hAnsi="Georgia"/>
                <w:b w:val="0"/>
                <w:i w:val="0"/>
                <w:color w:val="141414"/>
                <w:sz w:val="20"/>
              </w:rPr>
              <w:t>Meublé</w:t>
            </w:r>
          </w:p>
        </w:tc>
        <w:tc>
          <w:tcPr>
            <w:tcW w:type="dxa" w:w="3138"/>
            <w:tcW w:w="3140" w:type="dxa"/>
            <w:vAlign w:val="center"/>
          </w:tcPr>
          <w:p>
            <w:pPr>
              <w:spacing w:before="0" w:after="0"/>
            </w:pPr>
            <w:r>
              <w:rPr>
                <w:rFonts w:ascii="Times" w:hAnsi="Times"/>
                <w:b/>
                <w:i w:val="0"/>
                <w:color w:val="000000"/>
                <w:sz w:val="14"/>
              </w:rPr>
              <w:t>1 an</w:t>
            </w:r>
          </w:p>
        </w:tc>
        <w:tc>
          <w:tcPr>
            <w:tcW w:type="dxa" w:w="3138"/>
            <w:tcW w:w="3140" w:type="dxa"/>
            <w:vAlign w:val="center"/>
          </w:tcPr>
          <w:p>
            <w:pPr>
              <w:spacing w:before="0" w:after="0"/>
            </w:pPr>
            <w:r>
              <w:rPr>
                <w:rFonts w:ascii="Times" w:hAnsi="Times"/>
                <w:b/>
                <w:i w:val="0"/>
                <w:color w:val="000000"/>
                <w:sz w:val="14"/>
              </w:rPr>
              <w:t>Tacite, mêmes conditions</w:t>
            </w:r>
          </w:p>
        </w:tc>
      </w:tr>
      <w:tr>
        <w:trPr>
          <w:trHeight w:val="629" w:hRule="atLeast"/>
          <w:cantSplit w:val="true"/>
        </w:trPr>
        <w:tc>
          <w:tcPr>
            <w:tcW w:type="dxa" w:w="3138"/>
            <w:tcW w:w="3135" w:type="dxa"/>
            <w:vAlign w:val="center"/>
          </w:tcPr>
          <w:p>
            <w:pPr>
              <w:spacing w:before="0" w:after="0"/>
            </w:pPr>
            <w:r>
              <w:rPr>
                <w:rFonts w:ascii="Times" w:hAnsi="Times"/>
                <w:b/>
                <w:i w:val="0"/>
                <w:color w:val="000000"/>
                <w:sz w:val="14"/>
              </w:rPr>
              <w:t>Meublé étudiant</w:t>
            </w:r>
          </w:p>
        </w:tc>
        <w:tc>
          <w:tcPr>
            <w:tcW w:type="dxa" w:w="3138"/>
            <w:tcW w:w="3140" w:type="dxa"/>
            <w:vAlign w:val="center"/>
          </w:tcPr>
          <w:p>
            <w:pPr>
              <w:spacing w:before="0" w:after="0"/>
            </w:pPr>
            <w:r>
              <w:rPr>
                <w:rFonts w:ascii="Times" w:hAnsi="Times"/>
                <w:b/>
                <w:i w:val="0"/>
                <w:color w:val="000000"/>
                <w:sz w:val="14"/>
              </w:rPr>
              <w:t>9 mois</w:t>
            </w:r>
          </w:p>
        </w:tc>
        <w:tc>
          <w:tcPr>
            <w:tcW w:type="dxa" w:w="3138"/>
            <w:tcW w:w="3140" w:type="dxa"/>
            <w:vAlign w:val="center"/>
          </w:tcPr>
          <w:p>
            <w:pPr>
              <w:spacing w:before="0" w:after="0"/>
            </w:pPr>
            <w:r>
              <w:rPr>
                <w:rFonts w:ascii="Times" w:hAnsi="Times"/>
                <w:b/>
                <w:i w:val="0"/>
                <w:color w:val="000000"/>
                <w:sz w:val="14"/>
              </w:rPr>
              <w:t>Non reconductible tacitement</w:t>
            </w:r>
          </w:p>
        </w:tc>
      </w:tr>
    </w:tbl>
    <w:p>
      <w:pPr>
        <w:spacing w:after="120" w:before="0"/>
      </w:pPr>
    </w:p>
    <w:p>
      <w:pPr>
        <w:spacing w:before="200" w:after="280"/>
        <w:pBdr>
          <w:bottom w:val="single" w:sz="6" w:space="2" w:color="8A6D3B"/>
        </w:pBdr>
        <w:keepNext w:val="true"/>
        <w:keepLines w:val="true"/>
      </w:pPr>
      <w:r>
        <w:rPr>
          <w:rFonts w:ascii="Helvetica Neue" w:hAnsi="Helvetica Neue"/>
          <w:b/>
          <w:i w:val="0"/>
          <w:color w:val="141414"/>
          <w:sz w:val="22"/>
        </w:rPr>
        <w:t>IV. Résiliation et congé</w:t>
      </w:r>
    </w:p>
    <w:p>
      <w:pPr>
        <w:spacing w:before="0" w:after="31"/>
      </w:pPr>
      <w:r>
        <w:rPr>
          <w:rFonts w:ascii="Georgia" w:hAnsi="Georgia"/>
          <w:b w:val="0"/>
          <w:i w:val="0"/>
          <w:color w:val="141414"/>
          <w:sz w:val="20"/>
        </w:rPr>
        <w:t>Congé donné par le colocataire : préavis de […] (3 mois en nu ; 1 mois en meublé ou meublé étudiant), sans avoir à justifier d'un motif.</w:t>
      </w:r>
    </w:p>
    <w:p>
      <w:pPr>
        <w:spacing w:before="0" w:after="31"/>
      </w:pPr>
      <w:r>
        <w:rPr>
          <w:rFonts w:ascii="Georgia" w:hAnsi="Georgia"/>
          <w:b w:val="0"/>
          <w:i w:val="0"/>
          <w:color w:val="141414"/>
          <w:sz w:val="20"/>
        </w:rPr>
        <w:t>Le nu bénéficie des mêmes dérogations à 1 mois de préavis que le bail unique (zone tendue, mutation, perte d'emploi, état de santé, RSA/AAH, logement social) — art. 15 de la loi 89-462.</w:t>
      </w:r>
    </w:p>
    <w:p>
      <w:pPr>
        <w:spacing w:before="0" w:after="25"/>
      </w:pPr>
      <w:r>
        <w:rPr>
          <w:rFonts w:ascii="Georgia" w:hAnsi="Georgia"/>
          <w:b w:val="0"/>
          <w:i w:val="0"/>
          <w:color w:val="141414"/>
          <w:sz w:val="20"/>
        </w:rPr>
        <w:t>Congé donné par le bailleur (nu uniquement) : préavis de 6 mois, à l'échéance du contrat, motivé (reprise, vente, ou motif légitime et sérieux) — art. 15 I. En meublé, préavis de 3 mois, mêmes motifs.</w:t>
      </w:r>
    </w:p>
    <w:p>
      <w:pPr>
        <w:spacing w:before="0" w:after="60"/>
      </w:pPr>
      <w:r>
        <w:rPr>
          <w:rFonts w:ascii="Georgia" w:hAnsi="Georgia"/>
          <w:b w:val="0"/>
          <w:i/>
          <w:color w:val="434343"/>
          <w:sz w:val="17"/>
        </w:rPr>
        <w:t>Le congé est notifié par lettre recommandée avec avis de réception, acte d'huissier, ou remise en main propre contre récépissé.</w:t>
      </w:r>
    </w:p>
    <w:p>
      <w:pPr>
        <w:spacing w:before="200" w:after="263"/>
        <w:pBdr>
          <w:bottom w:val="single" w:sz="6" w:space="2" w:color="8A6D3B"/>
        </w:pBdr>
        <w:keepNext w:val="true"/>
        <w:keepLines w:val="true"/>
      </w:pPr>
      <w:r>
        <w:rPr>
          <w:rFonts w:ascii="Helvetica Neue" w:hAnsi="Helvetica Neue"/>
          <w:b/>
          <w:i w:val="0"/>
          <w:color w:val="141414"/>
          <w:sz w:val="22"/>
        </w:rPr>
        <w:t>V. Révision du loyer</w:t>
      </w:r>
    </w:p>
    <w:p>
      <w:pPr>
        <w:spacing w:before="0" w:after="178"/>
      </w:pPr>
      <w:r>
        <w:rPr>
          <w:rFonts w:ascii="Georgia" w:hAnsi="Georgia"/>
          <w:b w:val="0"/>
          <w:i w:val="0"/>
          <w:color w:val="141414"/>
          <w:sz w:val="20"/>
        </w:rPr>
        <w:t xml:space="preserve">Le loyer du présent contrat est révisable chaque année : </w:t>
      </w:r>
      <w:r>
        <w:rPr>
          <w:rFonts w:ascii="Apple Symbols" w:hAnsi="Apple Symbols"/>
          <w:b w:val="0"/>
          <w:i w:val="0"/>
          <w:color w:val="141414"/>
          <w:sz w:val="25"/>
        </w:rPr>
        <w:t>☐</w:t>
      </w:r>
      <w:r>
        <w:rPr>
          <w:rFonts w:ascii="Georgia" w:hAnsi="Georgia"/>
          <w:b w:val="0"/>
          <w:i w:val="0"/>
          <w:color w:val="141414"/>
          <w:sz w:val="20"/>
        </w:rPr>
        <w:t xml:space="preserve"> oui </w:t>
      </w:r>
      <w:r>
        <w:rPr>
          <w:rFonts w:ascii="Apple Symbols" w:hAnsi="Apple Symbols"/>
          <w:b w:val="0"/>
          <w:i w:val="0"/>
          <w:color w:val="141414"/>
          <w:sz w:val="25"/>
        </w:rPr>
        <w:t>☐</w:t>
      </w:r>
      <w:r>
        <w:rPr>
          <w:rFonts w:ascii="Georgia" w:hAnsi="Georgia"/>
          <w:b w:val="0"/>
          <w:i w:val="0"/>
          <w:color w:val="141414"/>
          <w:sz w:val="20"/>
        </w:rPr>
        <w:t xml:space="preserve"> non</w:t>
      </w:r>
    </w:p>
    <w:p>
      <w:pPr>
        <w:spacing w:before="0" w:after="25"/>
      </w:pPr>
      <w:r>
        <w:rPr>
          <w:rFonts w:ascii="Georgia" w:hAnsi="Georgia"/>
          <w:b w:val="0"/>
          <w:i w:val="0"/>
          <w:color w:val="141414"/>
          <w:sz w:val="20"/>
        </w:rPr>
        <w:t>Si oui : révision à la date anniversaire du contrat, dans la limite de la variation de l'indice de référence des loyers (IRL, INSEE). Le bailleur qui ne révise pas dans l'année suivant la date de prise d'effet est réputé avoir renoncé à la révision pour l'année écoulée.</w:t>
      </w:r>
    </w:p>
    <w:p>
      <w:pPr>
        <w:spacing w:before="0" w:after="411"/>
      </w:pPr>
      <w:r>
        <w:rPr>
          <w:rFonts w:ascii="Georgia" w:hAnsi="Georgia"/>
          <w:b w:val="0"/>
          <w:i w:val="0"/>
          <w:color w:val="141414"/>
          <w:sz w:val="20"/>
        </w:rPr>
        <w:t>Indice de référence (trimestre, année, valeur) : […]</w:t>
      </w:r>
    </w:p>
    <w:p>
      <w:pPr>
        <w:spacing w:before="200" w:after="263"/>
        <w:pBdr>
          <w:bottom w:val="single" w:sz="6" w:space="2" w:color="8A6D3B"/>
        </w:pBdr>
        <w:keepNext w:val="true"/>
        <w:keepLines w:val="true"/>
      </w:pPr>
      <w:r>
        <w:rPr>
          <w:rFonts w:ascii="Helvetica Neue" w:hAnsi="Helvetica Neue"/>
          <w:b/>
          <w:i w:val="0"/>
          <w:color w:val="141414"/>
          <w:sz w:val="22"/>
        </w:rPr>
        <w:t>VI. Obligations du colocataire</w:t>
      </w:r>
    </w:p>
    <w:p>
      <w:pPr>
        <w:spacing w:before="0" w:after="25"/>
      </w:pPr>
      <w:r>
        <w:rPr>
          <w:rFonts w:ascii="Georgia" w:hAnsi="Georgia"/>
          <w:b w:val="0"/>
          <w:i w:val="0"/>
          <w:smallCaps/>
          <w:color w:val="141414"/>
          <w:sz w:val="25"/>
        </w:rPr>
        <w:t>Le colocataire est tenu, dans les mêmes termes que le locataire d'un bail unique (art. 7 de la loi 89-462) :</w:t>
      </w:r>
    </w:p>
    <w:p>
      <w:pPr>
        <w:spacing w:before="0" w:after="122"/>
      </w:pPr>
      <w:r>
        <w:rPr>
          <w:rFonts w:ascii="Times" w:hAnsi="Times"/>
          <w:b w:val="0"/>
          <w:i w:val="0"/>
          <w:color w:val="000000"/>
          <w:sz w:val="17"/>
        </w:rPr>
        <w:t>•</w:t>
      </w:r>
      <w:r>
        <w:rPr>
          <w:rFonts w:ascii="Times" w:hAnsi="Times"/>
          <w:b w:val="0"/>
          <w:i w:val="0"/>
          <w:color w:val="000000"/>
          <w:sz w:val="17"/>
        </w:rPr>
        <w:t xml:space="preserve">  </w:t>
      </w:r>
      <w:r>
        <w:rPr>
          <w:rFonts w:ascii="Times" w:hAnsi="Times"/>
          <w:b w:val="0"/>
          <w:i w:val="0"/>
          <w:color w:val="000000"/>
          <w:sz w:val="17"/>
        </w:rPr>
        <w:t>de payer le loyer et les charges aux termes convenus ;</w:t>
      </w:r>
    </w:p>
    <w:p>
      <w:pPr>
        <w:spacing w:before="0" w:after="122"/>
      </w:pPr>
      <w:r>
        <w:rPr>
          <w:rFonts w:ascii="Times" w:hAnsi="Times"/>
          <w:b w:val="0"/>
          <w:i w:val="0"/>
          <w:color w:val="000000"/>
          <w:sz w:val="17"/>
        </w:rPr>
        <w:t>•</w:t>
      </w:r>
      <w:r>
        <w:rPr>
          <w:rFonts w:ascii="Times" w:hAnsi="Times"/>
          <w:b w:val="0"/>
          <w:i w:val="0"/>
          <w:color w:val="000000"/>
          <w:sz w:val="17"/>
        </w:rPr>
        <w:t xml:space="preserve">  </w:t>
      </w:r>
      <w:r>
        <w:rPr>
          <w:rFonts w:ascii="Times" w:hAnsi="Times"/>
          <w:b w:val="0"/>
          <w:i w:val="0"/>
          <w:color w:val="000000"/>
          <w:sz w:val="17"/>
        </w:rPr>
        <w:t>d'user paisiblement des lieux, privatifs comme communs ;</w:t>
      </w:r>
    </w:p>
    <w:p>
      <w:pPr>
        <w:spacing w:before="0" w:after="65"/>
      </w:pPr>
      <w:r>
        <w:rPr>
          <w:rFonts w:ascii="Times" w:hAnsi="Times"/>
          <w:b w:val="0"/>
          <w:i w:val="0"/>
          <w:color w:val="000000"/>
          <w:sz w:val="17"/>
        </w:rPr>
        <w:t>•</w:t>
      </w:r>
      <w:r>
        <w:rPr>
          <w:rFonts w:ascii="Times" w:hAnsi="Times"/>
          <w:b w:val="0"/>
          <w:i w:val="0"/>
          <w:color w:val="000000"/>
          <w:sz w:val="17"/>
        </w:rPr>
        <w:t xml:space="preserve">  </w:t>
      </w:r>
      <w:r>
        <w:rPr>
          <w:rFonts w:ascii="Times" w:hAnsi="Times"/>
          <w:b w:val="0"/>
          <w:i w:val="0"/>
          <w:color w:val="000000"/>
          <w:sz w:val="17"/>
        </w:rPr>
        <w:t>de répondre des dégradations et pertes survenues, dans son local privatif comme dans les parties communes, pendant la durée du contrat ;</w:t>
      </w:r>
    </w:p>
    <w:p>
      <w:pPr>
        <w:spacing w:before="0" w:after="60"/>
      </w:pPr>
      <w:r>
        <w:rPr>
          <w:rFonts w:ascii="Times" w:hAnsi="Times"/>
          <w:b w:val="0"/>
          <w:i w:val="0"/>
          <w:color w:val="000000"/>
          <w:sz w:val="17"/>
        </w:rPr>
        <w:t>•</w:t>
      </w:r>
      <w:r>
        <w:rPr>
          <w:rFonts w:ascii="Times" w:hAnsi="Times"/>
          <w:b w:val="0"/>
          <w:i w:val="0"/>
          <w:color w:val="000000"/>
          <w:sz w:val="17"/>
        </w:rPr>
        <w:t xml:space="preserve">  </w:t>
      </w:r>
      <w:r>
        <w:rPr>
          <w:rFonts w:ascii="Times" w:hAnsi="Times"/>
          <w:b w:val="0"/>
          <w:i w:val="0"/>
          <w:color w:val="000000"/>
          <w:sz w:val="17"/>
        </w:rPr>
        <w:t>de prendre à sa charge l'entretien courant, les menues réparations du local privatif et l'entretien des équipements dont il a l'usage exclusif ;</w:t>
      </w:r>
    </w:p>
    <w:p>
      <w:pPr>
        <w:spacing w:before="0" w:after="128"/>
      </w:pPr>
      <w:r>
        <w:rPr>
          <w:rFonts w:ascii="Times" w:hAnsi="Times"/>
          <w:b w:val="0"/>
          <w:i w:val="0"/>
          <w:color w:val="000000"/>
          <w:sz w:val="17"/>
        </w:rPr>
        <w:t>•</w:t>
      </w:r>
      <w:r>
        <w:rPr>
          <w:rFonts w:ascii="Times" w:hAnsi="Times"/>
          <w:b w:val="0"/>
          <w:i w:val="0"/>
          <w:color w:val="000000"/>
          <w:sz w:val="17"/>
        </w:rPr>
        <w:t xml:space="preserve">  </w:t>
      </w:r>
      <w:r>
        <w:rPr>
          <w:rFonts w:ascii="Times" w:hAnsi="Times"/>
          <w:b w:val="0"/>
          <w:i w:val="0"/>
          <w:color w:val="000000"/>
          <w:sz w:val="17"/>
        </w:rPr>
        <w:t>de ne pas transformer les lieux sans accord écrit du bailleur ;</w:t>
      </w:r>
    </w:p>
    <w:p>
      <w:pPr>
        <w:spacing w:before="0" w:after="60"/>
      </w:pPr>
      <w:r>
        <w:rPr>
          <w:rFonts w:ascii="Times" w:hAnsi="Times"/>
          <w:b w:val="0"/>
          <w:i w:val="0"/>
          <w:color w:val="000000"/>
          <w:sz w:val="17"/>
        </w:rPr>
        <w:t>•</w:t>
      </w:r>
      <w:r>
        <w:rPr>
          <w:rFonts w:ascii="Times" w:hAnsi="Times"/>
          <w:b w:val="0"/>
          <w:i w:val="0"/>
          <w:color w:val="000000"/>
          <w:sz w:val="17"/>
        </w:rPr>
        <w:t xml:space="preserve">  </w:t>
      </w:r>
      <w:r>
        <w:rPr>
          <w:rFonts w:ascii="Times" w:hAnsi="Times"/>
          <w:b w:val="0"/>
          <w:i w:val="0"/>
          <w:color w:val="000000"/>
          <w:sz w:val="17"/>
        </w:rPr>
        <w:t>de permettre l'accès au local privatif pour la préparation et l'exécution de travaux d'amélioration des parties communes ou privatives ;</w:t>
      </w:r>
    </w:p>
    <w:p>
      <w:pPr>
        <w:spacing w:before="0" w:after="65"/>
      </w:pPr>
      <w:r>
        <w:rPr>
          <w:rFonts w:ascii="Times" w:hAnsi="Times"/>
          <w:b w:val="0"/>
          <w:i w:val="0"/>
          <w:color w:val="000000"/>
          <w:sz w:val="17"/>
        </w:rPr>
        <w:t>•</w:t>
      </w:r>
      <w:r>
        <w:rPr>
          <w:rFonts w:ascii="Times" w:hAnsi="Times"/>
          <w:b w:val="0"/>
          <w:i w:val="0"/>
          <w:color w:val="000000"/>
          <w:sz w:val="17"/>
        </w:rPr>
        <w:t xml:space="preserve">  </w:t>
      </w:r>
      <w:r>
        <w:rPr>
          <w:rFonts w:ascii="Times" w:hAnsi="Times"/>
          <w:b w:val="0"/>
          <w:i w:val="0"/>
          <w:color w:val="000000"/>
          <w:sz w:val="17"/>
        </w:rPr>
        <w:t>de ne pas céder le contrat ni sous-louer, même à titre gratuit, sous peine de nullité de la sous-location et de résiliation du présent contrat ;</w:t>
      </w:r>
    </w:p>
    <w:p>
      <w:pPr>
        <w:spacing w:before="0" w:after="156"/>
      </w:pPr>
      <w:r>
        <w:rPr>
          <w:rFonts w:ascii="Times" w:hAnsi="Times"/>
          <w:b w:val="0"/>
          <w:i w:val="0"/>
          <w:color w:val="000000"/>
          <w:sz w:val="17"/>
        </w:rPr>
        <w:t>•</w:t>
      </w:r>
      <w:r>
        <w:rPr>
          <w:rFonts w:ascii="Times" w:hAnsi="Times"/>
          <w:b w:val="0"/>
          <w:i w:val="0"/>
          <w:color w:val="000000"/>
          <w:sz w:val="17"/>
        </w:rPr>
        <w:t xml:space="preserve">  </w:t>
      </w:r>
      <w:r>
        <w:rPr>
          <w:rFonts w:ascii="Times" w:hAnsi="Times"/>
          <w:b w:val="0"/>
          <w:i w:val="0"/>
          <w:color w:val="000000"/>
          <w:sz w:val="17"/>
        </w:rPr>
        <w:t>de s'assurer contre les risques locatifs et d'en justifier — voir encadré ci-dessous.</w:t>
      </w:r>
    </w:p>
    <w:p>
      <w:pPr>
        <w:spacing w:before="0" w:after="25"/>
      </w:pPr>
      <w:r>
        <w:rPr>
          <w:rFonts w:ascii="Georgia" w:hAnsi="Georgia"/>
          <w:b w:val="0"/>
          <w:i w:val="0"/>
          <w:color w:val="141414"/>
          <w:sz w:val="20"/>
        </w:rPr>
        <w:t>Le colocataire doit s'assurer contre les risques locatifs (incendie, dégât des eaux, explosion) et en justifier à la remise des clés, puis chaque année à la date anniversaire, sur simple demande du bailleur. À défaut de production du justificatif dans le mois suivant la demande, le bailleur peut souscrire lui-même une assurance pour le compte du colocataire et lui en répercuter le coût avec le loyer (voir §X) ; le défaut d'assurance constitue en outre un motif de résiliation de plein droit (§VIII).</w:t>
      </w:r>
    </w:p>
    <w:p>
      <w:pPr>
        <w:spacing w:before="200" w:after="263"/>
        <w:pBdr>
          <w:bottom w:val="single" w:sz="6" w:space="2" w:color="8A6D3B"/>
        </w:pBdr>
        <w:keepNext w:val="true"/>
        <w:keepLines w:val="true"/>
      </w:pPr>
      <w:r>
        <w:rPr>
          <w:rFonts w:ascii="Helvetica Neue" w:hAnsi="Helvetica Neue"/>
          <w:b/>
          <w:i w:val="0"/>
          <w:color w:val="141414"/>
          <w:sz w:val="22"/>
        </w:rPr>
        <w:t>VII. Droit de visite du bailleur et détention d'animaux</w:t>
      </w:r>
    </w:p>
    <w:p>
      <w:pPr>
        <w:spacing w:before="0" w:after="31"/>
      </w:pPr>
      <w:r>
        <w:rPr>
          <w:rFonts w:ascii="Georgia" w:hAnsi="Georgia"/>
          <w:b w:val="0"/>
          <w:i w:val="0"/>
          <w:color w:val="141414"/>
          <w:sz w:val="20"/>
        </w:rPr>
        <w:t>Droit de visite du bailleur (en cas de vente ou de relocation suite à congé) : accès autorisé sur créneaux convenus, maximum 2 heures, jours ouvrables entre 8h et 20h, moyennant un délai de prévenance de 5 jours.</w:t>
      </w:r>
    </w:p>
    <w:p>
      <w:pPr>
        <w:spacing w:before="0" w:after="14"/>
      </w:pPr>
      <w:r>
        <w:rPr>
          <w:rFonts w:ascii="Georgia" w:hAnsi="Georgia"/>
          <w:b w:val="0"/>
          <w:i w:val="0"/>
          <w:color w:val="141414"/>
          <w:sz w:val="20"/>
        </w:rPr>
        <w:t>Détention d'animaux : autorisée sous réserve de ne troubler ni les autres colocataires ni le voisinage et de ne causer aucune dégradation aux parties communes ; les chiens de 1</w:t>
      </w:r>
      <w:r>
        <w:rPr>
          <w:rFonts w:ascii="Georgia" w:hAnsi="Georgia"/>
          <w:b w:val="0"/>
          <w:i w:val="0"/>
          <w:color w:val="141414"/>
          <w:sz w:val="14"/>
        </w:rPr>
        <w:t>re</w:t>
      </w:r>
      <w:r>
        <w:rPr>
          <w:rFonts w:ascii="Georgia" w:hAnsi="Georgia"/>
          <w:b w:val="0"/>
          <w:i w:val="0"/>
          <w:color w:val="141414"/>
          <w:sz w:val="20"/>
        </w:rPr>
        <w:t xml:space="preserve"> catégorie (art. L. 211-12 du code rural) sont interdits.</w:t>
      </w:r>
    </w:p>
    <w:p>
      <w:pPr>
        <w:spacing w:before="200" w:after="263"/>
        <w:pBdr>
          <w:bottom w:val="single" w:sz="6" w:space="2" w:color="8A6D3B"/>
        </w:pBdr>
        <w:keepNext w:val="true"/>
        <w:keepLines w:val="true"/>
      </w:pPr>
      <w:r>
        <w:rPr>
          <w:rFonts w:ascii="Helvetica Neue" w:hAnsi="Helvetica Neue"/>
          <w:b/>
          <w:i w:val="0"/>
          <w:color w:val="141414"/>
          <w:sz w:val="22"/>
        </w:rPr>
        <w:t>VIII. Clause résolutoire</w:t>
      </w:r>
    </w:p>
    <w:p>
      <w:pPr>
        <w:spacing w:before="0" w:after="31"/>
      </w:pPr>
      <w:r>
        <w:rPr>
          <w:rFonts w:ascii="Georgia" w:hAnsi="Georgia"/>
          <w:b w:val="0"/>
          <w:i w:val="0"/>
          <w:color w:val="141414"/>
          <w:sz w:val="20"/>
        </w:rPr>
        <w:t>À défaut de paiement du loyer, des charges ou du dépôt de garantie aux termes convenus, le présent contrat sera résilié de plein droit à l'expiration d'un délai de six semaines suivant un commandement de payer resté infructueux, délivré par acte d'huissier. En cas de défaut d'assurance du colocataire ou de trouble de voisinage constaté par une décision de justice définitive, la résiliation de plein droit intervient un mois après un commandement resté infructueux.</w:t>
      </w:r>
    </w:p>
    <w:p>
      <w:pPr>
        <w:spacing w:before="200" w:after="263"/>
        <w:pBdr>
          <w:bottom w:val="single" w:sz="6" w:space="2" w:color="8A6D3B"/>
        </w:pBdr>
        <w:keepNext w:val="true"/>
        <w:keepLines w:val="true"/>
      </w:pPr>
      <w:r>
        <w:rPr>
          <w:rFonts w:ascii="Helvetica Neue" w:hAnsi="Helvetica Neue"/>
          <w:b/>
          <w:i w:val="0"/>
          <w:color w:val="141414"/>
          <w:sz w:val="22"/>
        </w:rPr>
        <w:t>IX. Honoraires de location et d'état des lieux</w:t>
      </w:r>
    </w:p>
    <w:p>
      <w:pPr>
        <w:spacing w:before="0" w:after="25"/>
      </w:pPr>
      <w:r>
        <w:rPr>
          <w:rFonts w:ascii="Georgia" w:hAnsi="Georgia"/>
          <w:b w:val="0"/>
          <w:i w:val="0"/>
          <w:color w:val="141414"/>
          <w:sz w:val="20"/>
        </w:rPr>
        <w:t>Lorsqu'un professionnel est mandaté pour la mise en location, seuls les honoraires de visite, constitution du dossier, rédaction du bail et établissement de l'état des lieux d'entrée peuvent être partagés avec le colocataire, dans la limite d'un plafond au m² révisable chaque année (zone très tendue : 12 €/m² visite-dossier-bail, 3 €/m² état des lieux ; zone tendue : 10 €/m² ; hors zone tendue : 8 €/m²) — art. 5 de la loi 89-462.</w:t>
      </w:r>
    </w:p>
    <w:p>
      <w:pPr>
        <w:spacing w:before="200" w:after="263"/>
        <w:pBdr>
          <w:bottom w:val="single" w:sz="6" w:space="2" w:color="8A6D3B"/>
        </w:pBdr>
        <w:keepNext w:val="true"/>
        <w:keepLines w:val="true"/>
      </w:pPr>
      <w:r>
        <w:rPr>
          <w:rFonts w:ascii="Helvetica Neue" w:hAnsi="Helvetica Neue"/>
          <w:b/>
          <w:i w:val="0"/>
          <w:color w:val="141414"/>
          <w:sz w:val="22"/>
        </w:rPr>
        <w:t>X. Conditions financières</w:t>
      </w:r>
    </w:p>
    <w:p>
      <w:pPr>
        <w:spacing w:before="0" w:after="105"/>
      </w:pPr>
      <w:r>
        <w:rPr>
          <w:rFonts w:ascii="Georgia" w:hAnsi="Georgia"/>
          <w:b w:val="0"/>
          <w:i w:val="0"/>
          <w:color w:val="141414"/>
          <w:sz w:val="20"/>
        </w:rPr>
        <w:t>Loyer mensuel du présent contrat, hors charges : […] €</w:t>
      </w:r>
    </w:p>
    <w:p>
      <w:pPr>
        <w:spacing w:before="0" w:after="116"/>
      </w:pPr>
      <w:r>
        <w:rPr>
          <w:rFonts w:ascii="Georgia" w:hAnsi="Georgia"/>
          <w:b w:val="0"/>
          <w:i w:val="0"/>
          <w:color w:val="141414"/>
          <w:sz w:val="20"/>
        </w:rPr>
        <w:t>Le cas échéant, modalités particulières de fixation initiale du loyer applicables en zone tendue :</w:t>
      </w:r>
    </w:p>
    <w:p>
      <w:pPr>
        <w:spacing w:before="0" w:after="42"/>
      </w:pPr>
      <w:r>
        <w:rPr>
          <w:rFonts w:ascii="Georgia" w:hAnsi="Georgia"/>
          <w:b w:val="0"/>
          <w:i w:val="0"/>
          <w:color w:val="141414"/>
          <w:sz w:val="20"/>
        </w:rPr>
        <w:t xml:space="preserve">Loyer soumis au décret d'évolution des loyers à la relocation : oui </w:t>
      </w:r>
      <w:r>
        <w:rPr>
          <w:rFonts w:ascii="Apple Symbols" w:hAnsi="Apple Symbols"/>
          <w:b w:val="0"/>
          <w:i w:val="0"/>
          <w:color w:val="141414"/>
          <w:sz w:val="25"/>
        </w:rPr>
        <w:t>☐</w:t>
      </w:r>
      <w:r>
        <w:rPr>
          <w:rFonts w:ascii="Georgia" w:hAnsi="Georgia"/>
          <w:b w:val="0"/>
          <w:i w:val="0"/>
          <w:color w:val="141414"/>
          <w:sz w:val="20"/>
        </w:rPr>
        <w:t xml:space="preserve"> non </w:t>
      </w:r>
      <w:r>
        <w:rPr>
          <w:rFonts w:ascii="Apple Symbols" w:hAnsi="Apple Symbols"/>
          <w:b w:val="0"/>
          <w:i w:val="0"/>
          <w:color w:val="141414"/>
          <w:sz w:val="25"/>
        </w:rPr>
        <w:t>☐</w:t>
      </w:r>
      <w:r>
        <w:rPr>
          <w:rFonts w:ascii="Georgia" w:hAnsi="Georgia"/>
          <w:b w:val="0"/>
          <w:i w:val="0"/>
          <w:color w:val="141414"/>
          <w:sz w:val="20"/>
        </w:rPr>
        <w:t xml:space="preserve"> — Loyer de référence majoré fixé par arrêté préfectoral : oui </w:t>
      </w:r>
      <w:r>
        <w:rPr>
          <w:rFonts w:ascii="Apple Symbols" w:hAnsi="Apple Symbols"/>
          <w:b w:val="0"/>
          <w:i w:val="0"/>
          <w:color w:val="141414"/>
          <w:sz w:val="25"/>
        </w:rPr>
        <w:t>☐</w:t>
      </w:r>
      <w:r>
        <w:rPr>
          <w:rFonts w:ascii="Georgia" w:hAnsi="Georgia"/>
          <w:b w:val="0"/>
          <w:i w:val="0"/>
          <w:color w:val="141414"/>
          <w:sz w:val="20"/>
        </w:rPr>
        <w:t xml:space="preserve"> non </w:t>
      </w:r>
      <w:r>
        <w:rPr>
          <w:rFonts w:ascii="Apple Symbols" w:hAnsi="Apple Symbols"/>
          <w:b w:val="0"/>
          <w:i w:val="0"/>
          <w:color w:val="141414"/>
          <w:sz w:val="25"/>
        </w:rPr>
        <w:t>☐</w:t>
      </w:r>
      <w:r>
        <w:rPr>
          <w:rFonts w:ascii="Georgia" w:hAnsi="Georgia"/>
          <w:b w:val="0"/>
          <w:i w:val="0"/>
          <w:color w:val="141414"/>
          <w:sz w:val="20"/>
        </w:rPr>
        <w:t xml:space="preserve"> — Montant du loyer de référence : […] €/m² — Montant du loyer de référence majoré : […] €/m². Le cas échéant, complément de loyer (montant du loyer de base, montant du complément, caractéristiques du logement le justifiant) : […]</w:t>
      </w:r>
    </w:p>
    <w:p>
      <w:pPr>
        <w:spacing w:before="0" w:after="195"/>
      </w:pPr>
      <w:r>
        <w:rPr>
          <w:rFonts w:ascii="Georgia" w:hAnsi="Georgia"/>
          <w:b w:val="0"/>
          <w:i w:val="0"/>
          <w:color w:val="141414"/>
          <w:sz w:val="20"/>
        </w:rPr>
        <w:t xml:space="preserve">Modalités de règlement des charges : provisions avec régularisation annuelle </w:t>
      </w:r>
      <w:r>
        <w:rPr>
          <w:rFonts w:ascii="Apple Symbols" w:hAnsi="Apple Symbols"/>
          <w:b w:val="0"/>
          <w:i w:val="0"/>
          <w:color w:val="141414"/>
          <w:sz w:val="25"/>
        </w:rPr>
        <w:t>☐</w:t>
      </w:r>
      <w:r>
        <w:rPr>
          <w:rFonts w:ascii="Georgia" w:hAnsi="Georgia"/>
          <w:b w:val="0"/>
          <w:i w:val="0"/>
          <w:color w:val="141414"/>
          <w:sz w:val="20"/>
        </w:rPr>
        <w:t xml:space="preserve">   forfait </w:t>
      </w:r>
      <w:r>
        <w:rPr>
          <w:rFonts w:ascii="Apple Symbols" w:hAnsi="Apple Symbols"/>
          <w:b w:val="0"/>
          <w:i w:val="0"/>
          <w:color w:val="141414"/>
          <w:sz w:val="25"/>
        </w:rPr>
        <w:t>☐</w:t>
      </w:r>
    </w:p>
    <w:p>
      <w:pPr>
        <w:spacing w:before="0" w:after="105"/>
      </w:pPr>
      <w:r>
        <w:rPr>
          <w:rFonts w:ascii="Georgia" w:hAnsi="Georgia"/>
          <w:b w:val="0"/>
          <w:i w:val="0"/>
          <w:color w:val="141414"/>
          <w:sz w:val="20"/>
        </w:rPr>
        <w:t>Montant des provisions ou du forfait : […] €</w:t>
      </w:r>
    </w:p>
    <w:p>
      <w:pPr>
        <w:spacing w:before="0" w:after="31"/>
      </w:pPr>
      <w:r>
        <w:rPr>
          <w:rFonts w:ascii="Georgia" w:hAnsi="Georgia"/>
          <w:b w:val="0"/>
          <w:i w:val="0"/>
          <w:color w:val="141414"/>
          <w:sz w:val="20"/>
        </w:rPr>
        <w:t>Le forfait de charges est ouvert à la colocation, qu'elle soit nue ou meublée (art. 8-1). Le loyer et les charges de ce contrat ne couvrent que la part de ce colocataire ; ils ne se cumulent pas automatiquement avec ceux des autres colocataires pour former une somme unique due au bailleur — chaque contrat est indépendant.</w:t>
      </w:r>
    </w:p>
    <w:p>
      <w:pPr>
        <w:spacing w:before="0" w:after="150"/>
        <w:keepNext w:val="true"/>
        <w:keepLines w:val="true"/>
      </w:pPr>
      <w:r>
        <w:rPr>
          <w:rFonts w:ascii="Helvetica Neue" w:hAnsi="Helvetica Neue"/>
          <w:b/>
          <w:i w:val="0"/>
          <w:color w:val="2C2C2C"/>
          <w:sz w:val="19"/>
        </w:rPr>
        <w:t>Le cas échéant, assurance pour compte souscrite par le bailleur</w:t>
      </w:r>
    </w:p>
    <w:p>
      <w:pPr>
        <w:spacing w:before="0" w:after="184"/>
      </w:pPr>
      <w:r>
        <w:rPr>
          <w:rFonts w:ascii="Georgia" w:hAnsi="Georgia"/>
          <w:b w:val="0"/>
          <w:i w:val="0"/>
          <w:color w:val="141414"/>
          <w:sz w:val="20"/>
        </w:rPr>
        <w:t xml:space="preserve">Oui </w:t>
      </w:r>
      <w:r>
        <w:rPr>
          <w:rFonts w:ascii="Apple Symbols" w:hAnsi="Apple Symbols"/>
          <w:b w:val="0"/>
          <w:i w:val="0"/>
          <w:color w:val="141414"/>
          <w:sz w:val="25"/>
        </w:rPr>
        <w:t>☐</w:t>
      </w:r>
      <w:r>
        <w:rPr>
          <w:rFonts w:ascii="Georgia" w:hAnsi="Georgia"/>
          <w:b w:val="0"/>
          <w:i w:val="0"/>
          <w:color w:val="141414"/>
          <w:sz w:val="20"/>
        </w:rPr>
        <w:t xml:space="preserve">   Non </w:t>
      </w:r>
      <w:r>
        <w:rPr>
          <w:rFonts w:ascii="Apple Symbols" w:hAnsi="Apple Symbols"/>
          <w:b w:val="0"/>
          <w:i w:val="0"/>
          <w:color w:val="141414"/>
          <w:sz w:val="25"/>
        </w:rPr>
        <w:t>☐</w:t>
      </w:r>
    </w:p>
    <w:p>
      <w:pPr>
        <w:spacing w:before="0" w:after="99"/>
      </w:pPr>
      <w:r>
        <w:rPr>
          <w:rFonts w:ascii="Georgia" w:hAnsi="Georgia"/>
          <w:b w:val="0"/>
          <w:i w:val="0"/>
          <w:color w:val="141414"/>
          <w:sz w:val="20"/>
        </w:rPr>
        <w:t>Montant annuel récupérable : […] €   Montant récupérable par douzième : […] €</w:t>
      </w:r>
    </w:p>
    <w:p>
      <w:pPr>
        <w:spacing w:before="0" w:after="31"/>
      </w:pPr>
      <w:r>
        <w:rPr>
          <w:rFonts w:ascii="Georgia" w:hAnsi="Georgia"/>
          <w:b w:val="0"/>
          <w:i w:val="0"/>
          <w:color w:val="141414"/>
          <w:sz w:val="20"/>
        </w:rPr>
        <w:t>Les colocataires peuvent provoquer la résiliation de cette assurance pour compte dans les mêmes conditions que le locataire d'un bail unique (art. 8-1 IV et art. 7 g).</w:t>
      </w:r>
    </w:p>
    <w:p>
      <w:pPr>
        <w:spacing w:before="200" w:after="280"/>
        <w:pBdr>
          <w:bottom w:val="single" w:sz="6" w:space="2" w:color="8A6D3B"/>
        </w:pBdr>
        <w:keepNext w:val="true"/>
        <w:keepLines w:val="true"/>
      </w:pPr>
      <w:r>
        <w:rPr>
          <w:rFonts w:ascii="Helvetica Neue" w:hAnsi="Helvetica Neue"/>
          <w:b/>
          <w:i w:val="0"/>
          <w:color w:val="141414"/>
          <w:sz w:val="22"/>
        </w:rPr>
        <w:t>XI. Dépôt de garantie</w:t>
      </w:r>
    </w:p>
    <w:p>
      <w:pPr>
        <w:spacing w:before="0" w:after="480"/>
      </w:pPr>
      <w:r>
        <w:rPr>
          <w:rFonts w:ascii="Georgia" w:hAnsi="Georgia"/>
          <w:b w:val="0"/>
          <w:i w:val="0"/>
          <w:color w:val="141414"/>
          <w:sz w:val="20"/>
        </w:rPr>
        <w:t xml:space="preserve">Montant : […] € </w:t>
      </w:r>
      <w:r>
        <w:rPr>
          <w:rFonts w:ascii="Georgia" w:hAnsi="Georgia"/>
          <w:b w:val="0"/>
          <w:i/>
          <w:color w:val="141414"/>
          <w:sz w:val="20"/>
        </w:rPr>
        <w:t>(≤ 1 mois de loyer hors charges en nu, ≤ 2 mois en meublé, propre à ce contrat)</w:t>
      </w:r>
    </w:p>
    <w:p>
      <w:pPr>
        <w:spacing w:before="200" w:after="263"/>
        <w:pBdr>
          <w:bottom w:val="single" w:sz="6" w:space="2" w:color="8A6D3B"/>
        </w:pBdr>
        <w:keepNext w:val="true"/>
        <w:keepLines w:val="true"/>
      </w:pPr>
      <w:r>
        <w:rPr>
          <w:rFonts w:ascii="Helvetica Neue" w:hAnsi="Helvetica Neue"/>
          <w:b/>
          <w:i w:val="0"/>
          <w:color w:val="141414"/>
          <w:sz w:val="22"/>
        </w:rPr>
        <w:t>XII. Absence de solidarité</w:t>
      </w:r>
    </w:p>
    <w:p>
      <w:pPr>
        <w:spacing w:before="0" w:after="31"/>
      </w:pPr>
      <w:r>
        <w:rPr>
          <w:rFonts w:ascii="Georgia" w:hAnsi="Georgia"/>
          <w:b w:val="0"/>
          <w:i w:val="0"/>
          <w:color w:val="141414"/>
          <w:sz w:val="20"/>
        </w:rPr>
        <w:t>Le présent contrat étant distinct de ceux des autres colocataires, aucune solidarité n'existe entre eux : chaque colocataire n'est tenu que du loyer, des charges et des obligations de son propre contrat. Le bailleur ne peut réclamer à un colocataire la dette d'un autre.</w:t>
      </w:r>
    </w:p>
    <w:p>
      <w:pPr>
        <w:spacing w:before="200" w:after="263"/>
        <w:pBdr>
          <w:bottom w:val="single" w:sz="6" w:space="2" w:color="8A6D3B"/>
        </w:pBdr>
        <w:keepNext w:val="true"/>
        <w:keepLines w:val="true"/>
      </w:pPr>
      <w:r>
        <w:rPr>
          <w:rFonts w:ascii="Helvetica Neue" w:hAnsi="Helvetica Neue"/>
          <w:b/>
          <w:i w:val="0"/>
          <w:color w:val="141414"/>
          <w:sz w:val="22"/>
        </w:rPr>
        <w:t>XIII. Règles de vie commune</w:t>
      </w:r>
    </w:p>
    <w:p>
      <w:pPr>
        <w:spacing w:before="0" w:after="195"/>
      </w:pPr>
      <w:r>
        <w:rPr>
          <w:rFonts w:ascii="Georgia" w:hAnsi="Georgia"/>
          <w:b w:val="0"/>
          <w:i w:val="0"/>
          <w:color w:val="141414"/>
          <w:sz w:val="20"/>
        </w:rPr>
        <w:t xml:space="preserve">Règlement d'usage des parties communes, le cas échéant annexé : </w:t>
      </w:r>
      <w:r>
        <w:rPr>
          <w:rFonts w:ascii="Apple Symbols" w:hAnsi="Apple Symbols"/>
          <w:b w:val="0"/>
          <w:i w:val="0"/>
          <w:color w:val="141414"/>
          <w:sz w:val="25"/>
        </w:rPr>
        <w:t>☐</w:t>
      </w:r>
      <w:r>
        <w:rPr>
          <w:rFonts w:ascii="Georgia" w:hAnsi="Georgia"/>
          <w:b w:val="0"/>
          <w:i w:val="0"/>
          <w:color w:val="141414"/>
          <w:sz w:val="20"/>
        </w:rPr>
        <w:t xml:space="preserve"> oui </w:t>
      </w:r>
      <w:r>
        <w:rPr>
          <w:rFonts w:ascii="Apple Symbols" w:hAnsi="Apple Symbols"/>
          <w:b w:val="0"/>
          <w:i w:val="0"/>
          <w:color w:val="141414"/>
          <w:sz w:val="25"/>
        </w:rPr>
        <w:t>☐</w:t>
      </w:r>
      <w:r>
        <w:rPr>
          <w:rFonts w:ascii="Georgia" w:hAnsi="Georgia"/>
          <w:b w:val="0"/>
          <w:i w:val="0"/>
          <w:color w:val="141414"/>
          <w:sz w:val="20"/>
        </w:rPr>
        <w:t xml:space="preserve"> non</w:t>
      </w:r>
    </w:p>
    <w:p>
      <w:pPr>
        <w:spacing w:before="0" w:after="0"/>
      </w:pPr>
      <w:r>
        <w:rPr>
          <w:rFonts w:ascii="Georgia" w:hAnsi="Georgia"/>
          <w:b w:val="0"/>
          <w:i w:val="0"/>
          <w:color w:val="141414"/>
          <w:sz w:val="20"/>
        </w:rPr>
        <w:t>[…]</w:t>
      </w:r>
    </w:p>
    <w:p>
      <w:pPr>
        <w:spacing w:before="200" w:after="263"/>
        <w:pBdr>
          <w:bottom w:val="single" w:sz="6" w:space="2" w:color="8A6D3B"/>
        </w:pBdr>
        <w:keepNext w:val="true"/>
        <w:keepLines w:val="true"/>
      </w:pPr>
      <w:r>
        <w:rPr>
          <w:rFonts w:ascii="Helvetica Neue" w:hAnsi="Helvetica Neue"/>
          <w:b/>
          <w:i w:val="0"/>
          <w:color w:val="141414"/>
          <w:sz w:val="22"/>
        </w:rPr>
        <w:t>XIV. Annexes</w:t>
      </w:r>
    </w:p>
    <w:p>
      <w:pPr>
        <w:spacing w:before="0" w:after="105"/>
      </w:pPr>
      <w:r>
        <w:rPr>
          <w:rFonts w:ascii="Georgia" w:hAnsi="Georgia"/>
          <w:b w:val="0"/>
          <w:i w:val="0"/>
          <w:color w:val="141414"/>
          <w:sz w:val="20"/>
        </w:rPr>
        <w:t>Sont annexées et jointes au contrat de location les pièces suivantes :</w:t>
      </w:r>
    </w:p>
    <w:p>
      <w:pPr>
        <w:spacing w:before="0" w:after="178"/>
      </w:pPr>
      <w:r>
        <w:rPr>
          <w:rFonts w:ascii="Apple Symbols" w:hAnsi="Apple Symbols"/>
          <w:b w:val="0"/>
          <w:i w:val="0"/>
          <w:color w:val="141414"/>
          <w:sz w:val="25"/>
        </w:rPr>
        <w:t>☐</w:t>
      </w:r>
      <w:r>
        <w:rPr>
          <w:rFonts w:ascii="Georgia" w:hAnsi="Georgia"/>
          <w:b w:val="0"/>
          <w:i w:val="0"/>
          <w:color w:val="141414"/>
          <w:sz w:val="20"/>
        </w:rPr>
        <w:t xml:space="preserve"> </w:t>
      </w:r>
      <w:r>
        <w:rPr>
          <w:rFonts w:ascii="Georgia" w:hAnsi="Georgia"/>
          <w:b/>
          <w:i w:val="0"/>
          <w:color w:val="141414"/>
          <w:sz w:val="20"/>
        </w:rPr>
        <w:t>A.</w:t>
      </w:r>
      <w:r>
        <w:rPr>
          <w:rFonts w:ascii="Georgia" w:hAnsi="Georgia"/>
          <w:b w:val="0"/>
          <w:i w:val="0"/>
          <w:color w:val="141414"/>
          <w:sz w:val="20"/>
        </w:rPr>
        <w:t xml:space="preserve"> Le cas échéant, extrait du règlement de copropriété</w:t>
      </w:r>
    </w:p>
    <w:p>
      <w:pPr>
        <w:spacing w:before="0" w:after="195"/>
      </w:pPr>
      <w:r>
        <w:rPr>
          <w:rFonts w:ascii="Apple Symbols" w:hAnsi="Apple Symbols"/>
          <w:b w:val="0"/>
          <w:i w:val="0"/>
          <w:color w:val="141414"/>
          <w:sz w:val="25"/>
        </w:rPr>
        <w:t>☐</w:t>
      </w:r>
      <w:r>
        <w:rPr>
          <w:rFonts w:ascii="Georgia" w:hAnsi="Georgia"/>
          <w:b w:val="0"/>
          <w:i w:val="0"/>
          <w:color w:val="141414"/>
          <w:sz w:val="20"/>
        </w:rPr>
        <w:t xml:space="preserve"> </w:t>
      </w:r>
      <w:r>
        <w:rPr>
          <w:rFonts w:ascii="Georgia" w:hAnsi="Georgia"/>
          <w:b/>
          <w:i w:val="0"/>
          <w:color w:val="141414"/>
          <w:sz w:val="20"/>
        </w:rPr>
        <w:t>B.</w:t>
      </w:r>
      <w:r>
        <w:rPr>
          <w:rFonts w:ascii="Georgia" w:hAnsi="Georgia"/>
          <w:b w:val="0"/>
          <w:i w:val="0"/>
          <w:color w:val="141414"/>
          <w:sz w:val="20"/>
        </w:rPr>
        <w:t xml:space="preserve"> Un dossier de diagnostic technique comprenant :</w:t>
      </w:r>
    </w:p>
    <w:p>
      <w:pPr>
        <w:spacing w:before="0" w:after="139"/>
        <w:ind w:left="212"/>
      </w:pPr>
      <w:r>
        <w:rPr>
          <w:rFonts w:ascii="Apple Symbols" w:hAnsi="Apple Symbols"/>
          <w:b w:val="0"/>
          <w:i w:val="0"/>
          <w:color w:val="141414"/>
          <w:sz w:val="25"/>
        </w:rPr>
        <w:t>☐</w:t>
      </w:r>
      <w:r>
        <w:rPr>
          <w:rFonts w:ascii="Georgia" w:hAnsi="Georgia"/>
          <w:b w:val="0"/>
          <w:i w:val="0"/>
          <w:color w:val="141414"/>
          <w:sz w:val="20"/>
        </w:rPr>
        <w:t xml:space="preserve"> un diagnostic de performance énergétique ;</w:t>
      </w:r>
    </w:p>
    <w:p>
      <w:pPr>
        <w:spacing w:before="0" w:after="54"/>
      </w:pPr>
      <w:r>
        <w:rPr>
          <w:rFonts w:ascii="Apple Symbols" w:hAnsi="Apple Symbols"/>
          <w:b w:val="0"/>
          <w:i w:val="0"/>
          <w:color w:val="141414"/>
          <w:sz w:val="25"/>
        </w:rPr>
        <w:t>☐</w:t>
      </w:r>
      <w:r>
        <w:rPr>
          <w:rFonts w:ascii="Georgia" w:hAnsi="Georgia"/>
          <w:b w:val="0"/>
          <w:i w:val="0"/>
          <w:color w:val="141414"/>
          <w:sz w:val="20"/>
        </w:rPr>
        <w:t xml:space="preserve"> un constat de risque d'exposition au plomb pour les immeubles construits avant le 1</w:t>
      </w:r>
      <w:r>
        <w:rPr>
          <w:rFonts w:ascii="Georgia" w:hAnsi="Georgia"/>
          <w:b w:val="0"/>
          <w:i w:val="0"/>
          <w:color w:val="141414"/>
          <w:sz w:val="17"/>
        </w:rPr>
        <w:t>er</w:t>
      </w:r>
      <w:r>
        <w:rPr>
          <w:rFonts w:ascii="Georgia" w:hAnsi="Georgia"/>
          <w:b w:val="0"/>
          <w:i w:val="0"/>
          <w:color w:val="141414"/>
          <w:sz w:val="20"/>
        </w:rPr>
        <w:t xml:space="preserve"> janvier 1949 ;</w:t>
      </w:r>
    </w:p>
    <w:p>
      <w:pPr>
        <w:spacing w:before="0" w:after="42"/>
      </w:pPr>
      <w:r>
        <w:rPr>
          <w:rFonts w:ascii="Apple Symbols" w:hAnsi="Apple Symbols"/>
          <w:b w:val="0"/>
          <w:i w:val="0"/>
          <w:color w:val="141414"/>
          <w:sz w:val="25"/>
        </w:rPr>
        <w:t>☐</w:t>
      </w:r>
      <w:r>
        <w:rPr>
          <w:rFonts w:ascii="Georgia" w:hAnsi="Georgia"/>
          <w:b w:val="0"/>
          <w:i w:val="0"/>
          <w:color w:val="141414"/>
          <w:sz w:val="20"/>
        </w:rPr>
        <w:t xml:space="preserve"> le cas échéant, une copie d'un état mentionnant l'absence ou la présence de matériaux ou de produits de la construction contenant de l'amiante ;</w:t>
      </w:r>
    </w:p>
    <w:p>
      <w:pPr>
        <w:spacing w:before="0" w:after="48"/>
      </w:pPr>
      <w:r>
        <w:rPr>
          <w:rFonts w:ascii="Apple Symbols" w:hAnsi="Apple Symbols"/>
          <w:b w:val="0"/>
          <w:i w:val="0"/>
          <w:color w:val="141414"/>
          <w:sz w:val="25"/>
        </w:rPr>
        <w:t>☐</w:t>
      </w:r>
      <w:r>
        <w:rPr>
          <w:rFonts w:ascii="Georgia" w:hAnsi="Georgia"/>
          <w:b w:val="0"/>
          <w:i w:val="0"/>
          <w:color w:val="141414"/>
          <w:sz w:val="20"/>
        </w:rPr>
        <w:t xml:space="preserve"> le cas échéant, un état de l'installation intérieure d'électricité et de gaz, dont l'objet est d'évaluer les risques pouvant porter atteinte à la sécurité des personnes ;</w:t>
      </w:r>
    </w:p>
    <w:p>
      <w:pPr>
        <w:spacing w:before="0" w:after="42"/>
      </w:pPr>
      <w:r>
        <w:rPr>
          <w:rFonts w:ascii="Apple Symbols" w:hAnsi="Apple Symbols"/>
          <w:b w:val="0"/>
          <w:i w:val="0"/>
          <w:color w:val="141414"/>
          <w:sz w:val="25"/>
        </w:rPr>
        <w:t>☐</w:t>
      </w:r>
      <w:r>
        <w:rPr>
          <w:rFonts w:ascii="Georgia" w:hAnsi="Georgia"/>
          <w:b w:val="0"/>
          <w:i w:val="0"/>
          <w:color w:val="141414"/>
          <w:sz w:val="20"/>
        </w:rPr>
        <w:t xml:space="preserve"> le cas échéant, un état des risques naturels et technologiques pour les zones couvertes par un plan de prévention des risques technologiques ou par un plan de prévention des risques naturels prévisibles, prescrit ou approuvé, ou dans des zones de sismicité.</w:t>
      </w:r>
    </w:p>
    <w:p>
      <w:pPr>
        <w:spacing w:before="0" w:after="161"/>
      </w:pPr>
      <w:r>
        <w:rPr>
          <w:rFonts w:ascii="Apple Symbols" w:hAnsi="Apple Symbols"/>
          <w:b w:val="0"/>
          <w:i w:val="0"/>
          <w:color w:val="141414"/>
          <w:sz w:val="25"/>
        </w:rPr>
        <w:t>☐</w:t>
      </w:r>
      <w:r>
        <w:rPr>
          <w:rFonts w:ascii="Georgia" w:hAnsi="Georgia"/>
          <w:b w:val="0"/>
          <w:i w:val="0"/>
          <w:color w:val="141414"/>
          <w:sz w:val="20"/>
        </w:rPr>
        <w:t xml:space="preserve"> </w:t>
      </w:r>
      <w:r>
        <w:rPr>
          <w:rFonts w:ascii="Georgia" w:hAnsi="Georgia"/>
          <w:b/>
          <w:i w:val="0"/>
          <w:color w:val="141414"/>
          <w:sz w:val="20"/>
        </w:rPr>
        <w:t>C.</w:t>
      </w:r>
      <w:r>
        <w:rPr>
          <w:rFonts w:ascii="Georgia" w:hAnsi="Georgia"/>
          <w:b w:val="0"/>
          <w:i w:val="0"/>
          <w:color w:val="141414"/>
          <w:sz w:val="20"/>
        </w:rPr>
        <w:t xml:space="preserve"> Notice d'information relative aux droits et obligations des locataires et des bailleurs</w:t>
      </w:r>
    </w:p>
    <w:p>
      <w:pPr>
        <w:spacing w:before="0" w:after="195"/>
      </w:pPr>
      <w:r>
        <w:rPr>
          <w:rFonts w:ascii="Apple Symbols" w:hAnsi="Apple Symbols"/>
          <w:b w:val="0"/>
          <w:i w:val="0"/>
          <w:color w:val="141414"/>
          <w:sz w:val="25"/>
        </w:rPr>
        <w:t>☐</w:t>
      </w:r>
      <w:r>
        <w:rPr>
          <w:rFonts w:ascii="Georgia" w:hAnsi="Georgia"/>
          <w:b w:val="0"/>
          <w:i w:val="0"/>
          <w:color w:val="141414"/>
          <w:sz w:val="20"/>
        </w:rPr>
        <w:t xml:space="preserve"> </w:t>
      </w:r>
      <w:r>
        <w:rPr>
          <w:rFonts w:ascii="Georgia" w:hAnsi="Georgia"/>
          <w:b/>
          <w:i w:val="0"/>
          <w:color w:val="141414"/>
          <w:sz w:val="20"/>
        </w:rPr>
        <w:t>D.</w:t>
      </w:r>
      <w:r>
        <w:rPr>
          <w:rFonts w:ascii="Georgia" w:hAnsi="Georgia"/>
          <w:b w:val="0"/>
          <w:i w:val="0"/>
          <w:color w:val="141414"/>
          <w:sz w:val="20"/>
        </w:rPr>
        <w:t xml:space="preserve"> État des lieux du local privatif et des parties communes</w:t>
      </w:r>
    </w:p>
    <w:p>
      <w:pPr>
        <w:spacing w:before="0" w:after="161"/>
      </w:pPr>
      <w:r>
        <w:rPr>
          <w:rFonts w:ascii="Apple Symbols" w:hAnsi="Apple Symbols"/>
          <w:b w:val="0"/>
          <w:i w:val="0"/>
          <w:color w:val="141414"/>
          <w:sz w:val="25"/>
        </w:rPr>
        <w:t>☐</w:t>
      </w:r>
      <w:r>
        <w:rPr>
          <w:rFonts w:ascii="Georgia" w:hAnsi="Georgia"/>
          <w:b w:val="0"/>
          <w:i w:val="0"/>
          <w:color w:val="141414"/>
          <w:sz w:val="20"/>
        </w:rPr>
        <w:t xml:space="preserve"> </w:t>
      </w:r>
      <w:r>
        <w:rPr>
          <w:rFonts w:ascii="Georgia" w:hAnsi="Georgia"/>
          <w:b w:val="0"/>
          <w:i/>
          <w:color w:val="141414"/>
          <w:sz w:val="20"/>
        </w:rPr>
        <w:t>si meublé,</w:t>
      </w:r>
      <w:r>
        <w:rPr>
          <w:rFonts w:ascii="Georgia" w:hAnsi="Georgia"/>
          <w:b w:val="0"/>
          <w:i w:val="0"/>
          <w:color w:val="141414"/>
          <w:sz w:val="20"/>
        </w:rPr>
        <w:t xml:space="preserve"> inventaire et état détaillé du mobilier</w:t>
      </w:r>
    </w:p>
    <w:p>
      <w:pPr>
        <w:spacing w:before="0" w:after="195"/>
      </w:pPr>
      <w:r>
        <w:rPr>
          <w:rFonts w:ascii="Apple Symbols" w:hAnsi="Apple Symbols"/>
          <w:b w:val="0"/>
          <w:i w:val="0"/>
          <w:color w:val="141414"/>
          <w:sz w:val="25"/>
        </w:rPr>
        <w:t>☐</w:t>
      </w:r>
      <w:r>
        <w:rPr>
          <w:rFonts w:ascii="Georgia" w:hAnsi="Georgia"/>
          <w:b w:val="0"/>
          <w:i w:val="0"/>
          <w:color w:val="141414"/>
          <w:sz w:val="20"/>
        </w:rPr>
        <w:t xml:space="preserve"> </w:t>
      </w:r>
      <w:r>
        <w:rPr>
          <w:rFonts w:ascii="Georgia" w:hAnsi="Georgia"/>
          <w:b/>
          <w:i w:val="0"/>
          <w:color w:val="141414"/>
          <w:sz w:val="20"/>
        </w:rPr>
        <w:t>E.</w:t>
      </w:r>
      <w:r>
        <w:rPr>
          <w:rFonts w:ascii="Georgia" w:hAnsi="Georgia"/>
          <w:b w:val="0"/>
          <w:i w:val="0"/>
          <w:color w:val="141414"/>
          <w:sz w:val="20"/>
        </w:rPr>
        <w:t xml:space="preserve"> Le cas échéant, une autorisation préalable de mise en location</w:t>
      </w:r>
    </w:p>
    <w:p>
      <w:pPr>
        <w:spacing w:before="0" w:after="42"/>
      </w:pPr>
      <w:r>
        <w:rPr>
          <w:rFonts w:ascii="Apple Symbols" w:hAnsi="Apple Symbols"/>
          <w:b w:val="0"/>
          <w:i w:val="0"/>
          <w:color w:val="141414"/>
          <w:sz w:val="25"/>
        </w:rPr>
        <w:t>☐</w:t>
      </w:r>
      <w:r>
        <w:rPr>
          <w:rFonts w:ascii="Georgia" w:hAnsi="Georgia"/>
          <w:b w:val="0"/>
          <w:i w:val="0"/>
          <w:color w:val="141414"/>
          <w:sz w:val="20"/>
        </w:rPr>
        <w:t xml:space="preserve"> </w:t>
      </w:r>
      <w:r>
        <w:rPr>
          <w:rFonts w:ascii="Georgia" w:hAnsi="Georgia"/>
          <w:b/>
          <w:i w:val="0"/>
          <w:color w:val="141414"/>
          <w:sz w:val="20"/>
        </w:rPr>
        <w:t>F.</w:t>
      </w:r>
      <w:r>
        <w:rPr>
          <w:rFonts w:ascii="Georgia" w:hAnsi="Georgia"/>
          <w:b w:val="0"/>
          <w:i w:val="0"/>
          <w:color w:val="141414"/>
          <w:sz w:val="20"/>
        </w:rPr>
        <w:t xml:space="preserve"> Le cas échéant, les références aux loyers habituellement constatés dans le voisinage pour des logements comparables</w:t>
      </w:r>
    </w:p>
    <w:p>
      <w:pPr>
        <w:spacing w:before="0" w:after="105"/>
      </w:pPr>
      <w:r>
        <w:rPr>
          <w:rFonts w:ascii="Georgia" w:hAnsi="Georgia"/>
          <w:b w:val="0"/>
          <w:i/>
          <w:color w:val="141414"/>
          <w:sz w:val="20"/>
        </w:rPr>
        <w:t>Annexe spécifique à la colocation :</w:t>
      </w:r>
    </w:p>
    <w:p>
      <w:pPr>
        <w:spacing w:before="0" w:after="144"/>
        <w:ind w:left="212"/>
      </w:pPr>
      <w:r>
        <w:rPr>
          <w:rFonts w:ascii="Apple Symbols" w:hAnsi="Apple Symbols"/>
          <w:b w:val="0"/>
          <w:i w:val="0"/>
          <w:color w:val="141414"/>
          <w:sz w:val="25"/>
        </w:rPr>
        <w:t>☐</w:t>
      </w:r>
      <w:r>
        <w:rPr>
          <w:rFonts w:ascii="Georgia" w:hAnsi="Georgia"/>
          <w:b w:val="0"/>
          <w:i w:val="0"/>
          <w:color w:val="141414"/>
          <w:sz w:val="20"/>
        </w:rPr>
        <w:t xml:space="preserve"> Le cas échéant, règlement d'usage des parties communes</w:t>
      </w:r>
    </w:p>
    <w:p>
      <w:pPr>
        <w:spacing w:before="0" w:after="388"/>
      </w:pPr>
      <w:r>
        <w:rPr>
          <w:rFonts w:ascii="Georgia" w:hAnsi="Georgia"/>
          <w:b w:val="0"/>
          <w:i w:val="0"/>
          <w:color w:val="141414"/>
          <w:sz w:val="19"/>
        </w:rPr>
        <w:t>Fait à […], le […], en autant d'exemplaires originaux que de parties.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47" w:type="dxa"/>
          <w:bottom w:w="34" w:type="dxa"/>
          <w:right w:w="147" w:type="dxa"/>
        </w:tblCellMar>
      </w:tblPr>
      <w:tblGrid>
        <w:gridCol w:w="4713"/>
        <w:gridCol w:w="4702"/>
      </w:tblGrid>
      <w:tr>
        <w:trPr>
          <w:trHeight w:val="1174" w:hRule="atLeast"/>
          <w:cantSplit w:val="true"/>
          <w:tblHeader w:val="true"/>
        </w:trPr>
        <w:tc>
          <w:tcPr>
            <w:tcW w:type="dxa" w:w="4707"/>
            <w:tcW w:w="4713" w:type="dxa"/>
          </w:tcPr>
          <w:p>
            <w:pPr>
              <w:spacing w:before="0" w:after="0"/>
            </w:pPr>
            <w:r>
              <w:rPr>
                <w:rFonts w:ascii="Times" w:hAnsi="Times"/>
                <w:b/>
                <w:i w:val="0"/>
                <w:color w:val="000000"/>
                <w:sz w:val="14"/>
              </w:rPr>
              <w:t>Le bailleur</w:t>
            </w:r>
            <w:r>
              <w:rPr>
                <w:rFonts w:ascii="Times" w:hAnsi="Times"/>
                <w:b w:val="0"/>
                <w:i w:val="0"/>
                <w:color w:val="000000"/>
                <w:sz w:val="14"/>
              </w:rPr>
              <w:t>Le […], à […]</w:t>
            </w:r>
            <w:r>
              <w:br/>
            </w:r>
            <w:r>
              <w:br/>
            </w:r>
            <w:r>
              <w:br/>
            </w:r>
            <w:r>
              <w:rPr>
                <w:rFonts w:ascii="Times" w:hAnsi="Times"/>
                <w:b w:val="0"/>
                <w:i/>
                <w:color w:val="000000"/>
                <w:sz w:val="14"/>
              </w:rPr>
              <w:t>Signature</w:t>
            </w:r>
            <w:r>
              <w:rPr>
                <w:rFonts w:ascii="Georgia" w:hAnsi="Georgia"/>
                <w:b w:val="0"/>
                <w:i w:val="0"/>
                <w:color w:val="141414"/>
                <w:sz w:val="20"/>
              </w:rPr>
              <w:t xml:space="preserve"> </w:t>
            </w:r>
            <w:r>
              <w:rPr>
                <w:rFonts w:ascii="Times" w:hAnsi="Times"/>
                <w:b w:val="0"/>
                <w:i w:val="0"/>
                <w:color w:val="888888"/>
                <w:sz w:val="15"/>
              </w:rPr>
              <w:t>(ou de son mandataire, le cas échéant)</w:t>
            </w:r>
          </w:p>
        </w:tc>
        <w:tc>
          <w:tcPr>
            <w:tcW w:type="dxa" w:w="4707"/>
            <w:tcW w:w="4702" w:type="dxa"/>
          </w:tcPr>
          <w:p>
            <w:pPr>
              <w:spacing w:before="0" w:after="0"/>
            </w:pPr>
            <w:r>
              <w:rPr>
                <w:rFonts w:ascii="Times" w:hAnsi="Times"/>
                <w:b/>
                <w:i w:val="0"/>
                <w:color w:val="000000"/>
                <w:sz w:val="14"/>
              </w:rPr>
              <w:t>Le colocataire</w:t>
            </w:r>
            <w:r>
              <w:rPr>
                <w:rFonts w:ascii="Times" w:hAnsi="Times"/>
                <w:b w:val="0"/>
                <w:i w:val="0"/>
                <w:color w:val="000000"/>
                <w:sz w:val="14"/>
              </w:rPr>
              <w:t>Le […], à […]</w:t>
            </w:r>
            <w:r>
              <w:br/>
            </w:r>
            <w:r>
              <w:br/>
            </w:r>
            <w:r>
              <w:br/>
            </w:r>
            <w:r>
              <w:rPr>
                <w:rFonts w:ascii="Times" w:hAnsi="Times"/>
                <w:b w:val="0"/>
                <w:i/>
                <w:color w:val="000000"/>
                <w:sz w:val="14"/>
              </w:rPr>
              <w:t>Signature</w:t>
            </w:r>
          </w:p>
        </w:tc>
      </w:tr>
    </w:tbl>
    <w:p>
      <w:pPr>
        <w:spacing w:after="120" w:before="0"/>
      </w:pPr>
    </w:p>
    <w:p>
      <w:pPr>
        <w:framePr w:w="9415" w:hAnchor="margin" w:xAlign="left" w:vAnchor="margin" w:yAlign="bottom" w:wrap="around"/>
        <w:spacing w:before="0" w:after="85"/>
      </w:pPr>
      <w:r>
        <w:rPr>
          <w:rFonts w:ascii="Georgia" w:hAnsi="Georgia"/>
          <w:b/>
          <w:i w:val="0"/>
          <w:color w:val="535353"/>
          <w:sz w:val="15"/>
        </w:rPr>
        <w:t>Références.</w:t>
      </w:r>
      <w:r>
        <w:rPr>
          <w:rFonts w:ascii="Georgia" w:hAnsi="Georgia"/>
          <w:b w:val="0"/>
          <w:i w:val="0"/>
          <w:color w:val="535353"/>
          <w:sz w:val="15"/>
        </w:rPr>
        <w:t xml:space="preserve"> Loi n° 89-462 du 6 juillet 1989, article 8-1 · Code de la construction et de l'habitation, articles L. 126-17, L. 126-18, L. 126-21 · Code civil, articles 1751 et 515-4.</w:t>
      </w:r>
    </w:p>
    <w:sectPr w:rsidR="00FC693F" w:rsidRPr="0006063C" w:rsidSect="00034616">
      <w:footerReference w:type="default" r:id="rId9"/>
      <w:pgSz w:w="11906" w:h="16838"/>
      <w:pgMar w:top="1020" w:right="1246" w:bottom="850" w:left="1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