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rPr>
          <w:rFonts w:ascii="Helvetica Neue" w:hAnsi="Helvetica Neue"/>
          <w:b/>
          <w:i w:val="0"/>
          <w:color w:val="141414"/>
          <w:sz w:val="36"/>
        </w:rPr>
        <w:t>AVENANT AU CONTRAT DE LOCATION</w:t>
      </w:r>
    </w:p>
    <w:p>
      <w:pPr>
        <w:spacing w:before="0" w:after="480"/>
        <w:jc w:val="center"/>
      </w:pPr>
      <w:r>
        <w:rPr>
          <w:rFonts w:ascii="Georgia" w:hAnsi="Georgia"/>
          <w:b w:val="0"/>
          <w:i/>
          <w:color w:val="434343"/>
          <w:sz w:val="19"/>
        </w:rPr>
        <w:t>Départ d'un colocataire, sans remplacement</w:t>
      </w:r>
    </w:p>
    <w:p>
      <w:pPr>
        <w:spacing w:before="0" w:after="0"/>
      </w:pPr>
      <w:r>
        <w:br/>
      </w:r>
    </w:p>
    <w:p>
      <w:pPr>
        <w:spacing w:before="0" w:after="31"/>
      </w:pPr>
      <w:r>
        <w:rPr>
          <w:rFonts w:ascii="Georgia" w:hAnsi="Georgia"/>
          <w:b w:val="0"/>
          <w:i w:val="0"/>
          <w:color w:val="141414"/>
          <w:sz w:val="21"/>
        </w:rPr>
        <w:t>Donner congé est un droit unilatéral du locataire (art. 15 et 25-8 de la loi n° 89-462 du 6 juillet 1989) : le bailleur ne peut ni le refuser ni le conditionner. Cet avenant ne sert donc pas à l'autoriser, mais à formaliser la mise à jour du bail après l'expiration du préavis, et à fixer clairement la date à laquelle la solidarité du sortant prend fin.</w:t>
      </w:r>
    </w:p>
    <w:p>
      <w:pPr>
        <w:spacing w:before="200" w:after="325"/>
        <w:pBdr>
          <w:bottom w:val="single" w:sz="6" w:space="2" w:color="8A6D3B"/>
        </w:pBdr>
        <w:keepNext w:val="true"/>
        <w:keepLines w:val="true"/>
      </w:pPr>
      <w:r>
        <w:rPr>
          <w:rFonts w:ascii="Helvetica Neue" w:hAnsi="Helvetica Neue"/>
          <w:b/>
          <w:i w:val="0"/>
          <w:color w:val="141414"/>
          <w:sz w:val="22"/>
        </w:rPr>
        <w:t>Identification du bail modifié</w:t>
      </w:r>
    </w:p>
    <w:p>
      <w:pPr>
        <w:spacing w:before="0" w:after="344"/>
        <w:ind w:left="523"/>
      </w:pPr>
      <w:r>
        <w:rPr>
          <w:rFonts w:ascii="Helvetica Neue" w:hAnsi="Helvetica Neue"/>
          <w:b/>
          <w:i w:val="0"/>
          <w:smallCaps/>
          <w:color w:val="8A6D3B"/>
          <w:sz w:val="20"/>
        </w:rPr>
        <w:t>Bailleur : […]</w:t>
      </w:r>
    </w:p>
    <w:p>
      <w:pPr>
        <w:spacing w:before="0" w:after="133"/>
      </w:pPr>
      <w:r>
        <w:rPr>
          <w:rFonts w:ascii="Georgia" w:hAnsi="Georgia"/>
          <w:b w:val="0"/>
          <w:i w:val="0"/>
          <w:color w:val="141414"/>
          <w:sz w:val="21"/>
        </w:rPr>
        <w:t>Colocataire(s) actuel(s), partie(s) au bail : […]</w:t>
      </w:r>
    </w:p>
    <w:p>
      <w:pPr>
        <w:spacing w:before="0" w:after="138"/>
      </w:pPr>
      <w:r>
        <w:rPr>
          <w:rFonts w:ascii="Georgia" w:hAnsi="Georgia"/>
          <w:b w:val="0"/>
          <w:i w:val="0"/>
          <w:color w:val="141414"/>
          <w:sz w:val="21"/>
        </w:rPr>
        <w:t>Logement situé : […]</w:t>
      </w:r>
    </w:p>
    <w:p>
      <w:pPr>
        <w:spacing w:before="0" w:after="223"/>
      </w:pPr>
      <w:r>
        <w:rPr>
          <w:rFonts w:ascii="Georgia" w:hAnsi="Georgia"/>
          <w:b w:val="0"/>
          <w:i w:val="0"/>
          <w:color w:val="141414"/>
          <w:sz w:val="21"/>
        </w:rPr>
        <w:t xml:space="preserve">Type de location : </w:t>
      </w:r>
      <w:r>
        <w:rPr>
          <w:rFonts w:ascii="Apple Symbols" w:hAnsi="Apple Symbols"/>
          <w:b w:val="0"/>
          <w:i w:val="0"/>
          <w:color w:val="141414"/>
          <w:sz w:val="25"/>
        </w:rPr>
        <w:t>☐</w:t>
      </w:r>
      <w:r>
        <w:rPr>
          <w:rFonts w:ascii="Georgia" w:hAnsi="Georgia"/>
          <w:b w:val="0"/>
          <w:i w:val="0"/>
          <w:color w:val="141414"/>
          <w:sz w:val="21"/>
        </w:rPr>
        <w:t xml:space="preserve"> Nu    </w:t>
      </w:r>
      <w:r>
        <w:rPr>
          <w:rFonts w:ascii="Apple Symbols" w:hAnsi="Apple Symbols"/>
          <w:b w:val="0"/>
          <w:i w:val="0"/>
          <w:color w:val="141414"/>
          <w:sz w:val="25"/>
        </w:rPr>
        <w:t>☐</w:t>
      </w:r>
      <w:r>
        <w:rPr>
          <w:rFonts w:ascii="Georgia" w:hAnsi="Georgia"/>
          <w:b w:val="0"/>
          <w:i w:val="0"/>
          <w:color w:val="141414"/>
          <w:sz w:val="21"/>
        </w:rPr>
        <w:t xml:space="preserve"> Meublé</w:t>
      </w:r>
    </w:p>
    <w:p>
      <w:pPr>
        <w:spacing w:before="0" w:after="133"/>
      </w:pPr>
      <w:r>
        <w:rPr>
          <w:rFonts w:ascii="Georgia" w:hAnsi="Georgia"/>
          <w:b w:val="0"/>
          <w:i w:val="0"/>
          <w:color w:val="141414"/>
          <w:sz w:val="21"/>
        </w:rPr>
        <w:t>Contrat de location initial en date du : […]</w:t>
      </w:r>
    </w:p>
    <w:p>
      <w:pPr>
        <w:spacing w:before="0" w:after="25"/>
      </w:pPr>
      <w:r>
        <w:rPr>
          <w:rFonts w:ascii="Georgia" w:hAnsi="Georgia"/>
          <w:b w:val="0"/>
          <w:i w:val="0"/>
          <w:color w:val="141414"/>
          <w:sz w:val="21"/>
        </w:rPr>
        <w:t>En application des articles 1751 et 515-4 du code civil, le présent avenant est de plein droit opposable au conjoint d'un colocataire — cotitulaire légal du bail (art. 1751) — et à son partenaire lié par un pacte civil de solidarité — solidaire des dettes de la vie courante, dont le loyer (art. 515-4) — même si leur existence n'a pas été portée à la connaissance du bailleur avant la signature du présent avenant.</w:t>
      </w:r>
    </w:p>
    <w:p>
      <w:pPr>
        <w:spacing w:before="200" w:after="308"/>
        <w:pBdr>
          <w:bottom w:val="single" w:sz="6" w:space="2" w:color="8A6D3B"/>
        </w:pBdr>
        <w:keepNext w:val="true"/>
        <w:keepLines w:val="true"/>
      </w:pPr>
      <w:r>
        <w:rPr>
          <w:rFonts w:ascii="Helvetica Neue" w:hAnsi="Helvetica Neue"/>
          <w:b/>
          <w:i w:val="0"/>
          <w:color w:val="141414"/>
          <w:sz w:val="22"/>
        </w:rPr>
        <w:t>1. Colocataire sortant et congé donné</w:t>
      </w:r>
    </w:p>
    <w:p>
      <w:pPr>
        <w:spacing w:before="0" w:after="161"/>
      </w:pPr>
      <w:r>
        <w:rPr>
          <w:rFonts w:ascii="Georgia" w:hAnsi="Georgia"/>
          <w:b w:val="0"/>
          <w:i w:val="0"/>
          <w:color w:val="141414"/>
          <w:sz w:val="21"/>
        </w:rPr>
        <w:t>Nom et prénom : […]</w:t>
      </w:r>
    </w:p>
    <w:p>
      <w:pPr>
        <w:spacing w:before="0" w:after="48"/>
      </w:pPr>
      <w:r>
        <w:rPr>
          <w:rFonts w:ascii="Georgia" w:hAnsi="Georgia"/>
          <w:b w:val="0"/>
          <w:i w:val="0"/>
          <w:color w:val="141414"/>
          <w:sz w:val="21"/>
        </w:rPr>
        <w:t xml:space="preserve">Date de notification du congé : […]   Forme : </w:t>
      </w:r>
      <w:r>
        <w:rPr>
          <w:rFonts w:ascii="Apple Symbols" w:hAnsi="Apple Symbols"/>
          <w:b w:val="0"/>
          <w:i w:val="0"/>
          <w:color w:val="141414"/>
          <w:sz w:val="25"/>
        </w:rPr>
        <w:t>☐</w:t>
      </w:r>
      <w:r>
        <w:rPr>
          <w:rFonts w:ascii="Georgia" w:hAnsi="Georgia"/>
          <w:b w:val="0"/>
          <w:i w:val="0"/>
          <w:color w:val="141414"/>
          <w:sz w:val="21"/>
        </w:rPr>
        <w:t xml:space="preserve"> LRAR   </w:t>
      </w:r>
      <w:r>
        <w:rPr>
          <w:rFonts w:ascii="Apple Symbols" w:hAnsi="Apple Symbols"/>
          <w:b w:val="0"/>
          <w:i w:val="0"/>
          <w:color w:val="141414"/>
          <w:sz w:val="25"/>
        </w:rPr>
        <w:t>☐</w:t>
      </w:r>
      <w:r>
        <w:rPr>
          <w:rFonts w:ascii="Georgia" w:hAnsi="Georgia"/>
          <w:b w:val="0"/>
          <w:i w:val="0"/>
          <w:color w:val="141414"/>
          <w:sz w:val="21"/>
        </w:rPr>
        <w:t xml:space="preserve"> Acte de commissaire de justice   </w:t>
      </w:r>
      <w:r>
        <w:rPr>
          <w:rFonts w:ascii="Apple Symbols" w:hAnsi="Apple Symbols"/>
          <w:b w:val="0"/>
          <w:i w:val="0"/>
          <w:color w:val="141414"/>
          <w:sz w:val="25"/>
        </w:rPr>
        <w:t>☐</w:t>
      </w:r>
      <w:r>
        <w:rPr>
          <w:rFonts w:ascii="Georgia" w:hAnsi="Georgia"/>
          <w:b w:val="0"/>
          <w:i w:val="0"/>
          <w:color w:val="141414"/>
          <w:sz w:val="21"/>
        </w:rPr>
        <w:t xml:space="preserve"> Remise en main propre contre récépissé</w:t>
      </w:r>
    </w:p>
    <w:p>
      <w:pPr>
        <w:spacing w:before="0" w:after="36"/>
      </w:pPr>
      <w:r>
        <w:rPr>
          <w:rFonts w:ascii="Georgia" w:hAnsi="Georgia"/>
          <w:b w:val="0"/>
          <w:i w:val="0"/>
          <w:color w:val="141414"/>
          <w:sz w:val="21"/>
        </w:rPr>
        <w:t>Date d'effet du congé (fin du préavis) : […]</w:t>
      </w:r>
    </w:p>
    <w:p>
      <w:pPr>
        <w:spacing w:before="0" w:after="210"/>
      </w:pPr>
      <w:r>
        <w:rPr>
          <w:rFonts w:ascii="Times" w:hAnsi="Times"/>
          <w:b/>
          <w:i w:val="0"/>
          <w:color w:val="000000"/>
          <w:sz w:val="14"/>
        </w:rPr>
        <w:t>Situation</w:t>
      </w:r>
    </w:p>
    <w:p>
      <w:pPr>
        <w:spacing w:before="0" w:after="210"/>
      </w:pPr>
      <w:r>
        <w:rPr>
          <w:rFonts w:ascii="Times" w:hAnsi="Times"/>
          <w:b/>
          <w:i w:val="0"/>
          <w:color w:val="000000"/>
          <w:sz w:val="14"/>
        </w:rPr>
        <w:t>Délai de préavis</w:t>
      </w:r>
    </w:p>
    <w:p>
      <w:pPr>
        <w:spacing w:before="0" w:after="210"/>
      </w:pPr>
      <w:r>
        <w:rPr>
          <w:rFonts w:ascii="Times" w:hAnsi="Times"/>
          <w:b/>
          <w:i w:val="0"/>
          <w:color w:val="000000"/>
          <w:sz w:val="14"/>
        </w:rPr>
        <w:t>Base légale</w:t>
      </w:r>
    </w:p>
    <w:p>
      <w:pPr>
        <w:spacing w:before="0" w:after="210"/>
      </w:pPr>
      <w:r>
        <w:rPr>
          <w:rFonts w:ascii="Times" w:hAnsi="Times"/>
          <w:b/>
          <w:i w:val="0"/>
          <w:color w:val="000000"/>
          <w:sz w:val="14"/>
        </w:rPr>
        <w:t>Location nue, cas général</w:t>
      </w:r>
    </w:p>
    <w:p>
      <w:pPr>
        <w:spacing w:before="0" w:after="210"/>
      </w:pPr>
      <w:r>
        <w:rPr>
          <w:rFonts w:ascii="Times" w:hAnsi="Times"/>
          <w:b/>
          <w:i w:val="0"/>
          <w:color w:val="000000"/>
          <w:sz w:val="14"/>
        </w:rPr>
        <w:t>3 mois</w:t>
      </w:r>
    </w:p>
    <w:p>
      <w:pPr>
        <w:spacing w:before="0" w:after="227"/>
      </w:pPr>
      <w:r>
        <w:rPr>
          <w:rFonts w:ascii="Times" w:hAnsi="Times"/>
          <w:b/>
          <w:i w:val="0"/>
          <w:color w:val="000000"/>
          <w:sz w:val="14"/>
        </w:rPr>
        <w:t>art. 15 I</w:t>
      </w:r>
    </w:p>
    <w:p>
      <w:pPr>
        <w:spacing w:before="0" w:after="199"/>
      </w:pPr>
      <w:r>
        <w:rPr>
          <w:rFonts w:ascii="Times" w:hAnsi="Times"/>
          <w:b/>
          <w:i w:val="0"/>
          <w:color w:val="000000"/>
          <w:sz w:val="14"/>
        </w:rPr>
        <w:t>Location nue, zone tendue ou motif légitime *</w:t>
      </w:r>
    </w:p>
    <w:p>
      <w:pPr>
        <w:spacing w:before="0" w:after="239"/>
      </w:pPr>
      <w:r>
        <w:rPr>
          <w:rFonts w:ascii="Times" w:hAnsi="Times"/>
          <w:b/>
          <w:i w:val="0"/>
          <w:color w:val="000000"/>
          <w:sz w:val="14"/>
        </w:rPr>
        <w:t>1 mois</w:t>
      </w:r>
    </w:p>
    <w:p>
      <w:pPr>
        <w:spacing w:before="0" w:after="227"/>
      </w:pPr>
      <w:r>
        <w:rPr>
          <w:rFonts w:ascii="Times" w:hAnsi="Times"/>
          <w:b/>
          <w:i w:val="0"/>
          <w:color w:val="000000"/>
          <w:sz w:val="14"/>
        </w:rPr>
        <w:t>art. 15 I</w:t>
      </w:r>
    </w:p>
    <w:p>
      <w:pPr>
        <w:spacing w:before="0" w:after="256"/>
      </w:pPr>
      <w:r>
        <w:rPr>
          <w:rFonts w:ascii="Times" w:hAnsi="Times"/>
          <w:b/>
          <w:i w:val="0"/>
          <w:color w:val="000000"/>
          <w:sz w:val="14"/>
        </w:rPr>
        <w:t>Location meublée</w:t>
      </w:r>
    </w:p>
    <w:p>
      <w:pPr>
        <w:spacing w:before="0" w:after="239"/>
      </w:pPr>
      <w:r>
        <w:rPr>
          <w:rFonts w:ascii="Times" w:hAnsi="Times"/>
          <w:b/>
          <w:i w:val="0"/>
          <w:color w:val="000000"/>
          <w:sz w:val="14"/>
        </w:rPr>
        <w:t>1 mois</w:t>
      </w:r>
    </w:p>
    <w:p>
      <w:pPr>
        <w:spacing w:before="0" w:after="273"/>
      </w:pPr>
      <w:r>
        <w:rPr>
          <w:rFonts w:ascii="Times" w:hAnsi="Times"/>
          <w:b/>
          <w:i w:val="0"/>
          <w:color w:val="000000"/>
          <w:sz w:val="14"/>
        </w:rPr>
        <w:t>art. 25-8</w:t>
      </w:r>
    </w:p>
    <w:p>
      <w:pPr>
        <w:spacing w:before="0" w:after="65"/>
      </w:pPr>
      <w:r>
        <w:rPr>
          <w:rFonts w:ascii="Georgia" w:hAnsi="Georgia"/>
          <w:b w:val="0"/>
          <w:i/>
          <w:color w:val="434343"/>
          <w:sz w:val="18"/>
        </w:rPr>
        <w:t>* Premier emploi, mutation, perte d'emploi, état de santé, RSA/AAH, logement social attribué, violences familiales. Le motif doit être précisé et justifié dans la lettre de congé, à défaut le préavis de trois mois s'applique.</w:t>
      </w:r>
    </w:p>
    <w:p>
      <w:pPr>
        <w:spacing w:before="200" w:after="308"/>
        <w:pBdr>
          <w:bottom w:val="single" w:sz="6" w:space="2" w:color="8A6D3B"/>
        </w:pBdr>
        <w:keepNext w:val="true"/>
        <w:keepLines w:val="true"/>
      </w:pPr>
      <w:r>
        <w:rPr>
          <w:rFonts w:ascii="Helvetica Neue" w:hAnsi="Helvetica Neue"/>
          <w:b/>
          <w:i w:val="0"/>
          <w:color w:val="141414"/>
          <w:sz w:val="22"/>
        </w:rPr>
        <w:t>2. Effet sur la solidarité — absence de remplacement</w:t>
      </w:r>
    </w:p>
    <w:p>
      <w:pPr>
        <w:spacing w:before="0" w:after="31"/>
      </w:pPr>
      <w:r>
        <w:rPr>
          <w:rFonts w:ascii="Georgia" w:hAnsi="Georgia"/>
          <w:b w:val="0"/>
          <w:i w:val="0"/>
          <w:color w:val="141414"/>
          <w:sz w:val="21"/>
        </w:rPr>
        <w:t>Sans remplacement immédiat, la solidarité du sortant et de sa caution se prolonge six mois après la fin du préavis (art. 8-1 VI de la loi n° 89-462). Pendant ce délai, le sortant et sa caution restent tenus, avec les colocataires demeurant en place, du paiement du loyer et des charges.</w:t>
      </w:r>
    </w:p>
    <w:p>
      <w:pPr>
        <w:spacing w:before="0" w:after="286"/>
      </w:pPr>
      <w:r>
        <w:rPr>
          <w:rFonts w:ascii="Georgia" w:hAnsi="Georgia"/>
          <w:b w:val="0"/>
          <w:i w:val="0"/>
          <w:color w:val="141414"/>
          <w:sz w:val="21"/>
        </w:rPr>
        <w:t>Date de fin de la solidarité (six mois après la date d'effet du congé) : […]</w:t>
      </w:r>
    </w:p>
    <w:p>
      <w:pPr>
        <w:spacing w:before="200" w:after="308"/>
        <w:pBdr>
          <w:bottom w:val="single" w:sz="6" w:space="2" w:color="8A6D3B"/>
        </w:pBdr>
        <w:keepNext w:val="true"/>
        <w:keepLines w:val="true"/>
      </w:pPr>
      <w:r>
        <w:rPr>
          <w:rFonts w:ascii="Helvetica Neue" w:hAnsi="Helvetica Neue"/>
          <w:b/>
          <w:i w:val="0"/>
          <w:color w:val="141414"/>
          <w:sz w:val="22"/>
        </w:rPr>
        <w:t>3. Mise à jour de la désignation des parties</w:t>
      </w:r>
    </w:p>
    <w:p>
      <w:pPr>
        <w:spacing w:before="0" w:after="31"/>
      </w:pPr>
      <w:r>
        <w:rPr>
          <w:rFonts w:ascii="Georgia" w:hAnsi="Georgia"/>
          <w:b w:val="0"/>
          <w:i w:val="0"/>
          <w:color w:val="141414"/>
          <w:sz w:val="21"/>
        </w:rPr>
        <w:t>À compter de la date d'effet du congé, le colocataire sortant cesse d'occuper le logement mais demeure tenu, avec sa caution le cas échéant, dans les conditions du §2 ci-dessus. La désignation des locataires figurant à la rubrique I du contrat de location initial est mise à jour comme suit, pour les besoins de la gestion courante du bail :</w:t>
      </w:r>
    </w:p>
    <w:p>
      <w:pPr>
        <w:spacing w:before="0" w:after="286"/>
      </w:pPr>
      <w:r>
        <w:rPr>
          <w:rFonts w:ascii="Georgia" w:hAnsi="Georgia"/>
          <w:b w:val="0"/>
          <w:i w:val="0"/>
          <w:color w:val="141414"/>
          <w:sz w:val="21"/>
        </w:rPr>
        <w:t>Colocataires demeurant en place à compter de cette date : […]</w:t>
      </w:r>
    </w:p>
    <w:p>
      <w:pPr>
        <w:spacing w:before="200" w:after="308"/>
        <w:pBdr>
          <w:bottom w:val="single" w:sz="6" w:space="2" w:color="8A6D3B"/>
        </w:pBdr>
        <w:keepNext w:val="true"/>
        <w:keepLines w:val="true"/>
      </w:pPr>
      <w:r>
        <w:rPr>
          <w:rFonts w:ascii="Helvetica Neue" w:hAnsi="Helvetica Neue"/>
          <w:b/>
          <w:i w:val="0"/>
          <w:color w:val="141414"/>
          <w:sz w:val="22"/>
        </w:rPr>
        <w:t>4. Continuité du bail</w:t>
      </w:r>
    </w:p>
    <w:p>
      <w:pPr>
        <w:spacing w:before="0" w:after="31"/>
      </w:pPr>
      <w:r>
        <w:rPr>
          <w:rFonts w:ascii="Georgia" w:hAnsi="Georgia"/>
          <w:b w:val="0"/>
          <w:i w:val="0"/>
          <w:color w:val="141414"/>
          <w:sz w:val="21"/>
        </w:rPr>
        <w:t>Le départ d'un colocataire ne réduit pas le montant du loyer ni les charges dues au titre du bail : les colocataires demeurant en place restent tenus de l'intégralité des sommes prévues au contrat, sauf modification distincte par un avenant de modification de loyer ou de charges. La répartition entre colocataires du montant laissé vacant par le sortant est un arrangement privé entre eux, sans effet sur les obligations du bail envers le bailleur.</w:t>
      </w:r>
    </w:p>
    <w:p>
      <w:pPr>
        <w:spacing w:before="200" w:after="297"/>
        <w:pBdr>
          <w:bottom w:val="single" w:sz="6" w:space="2" w:color="8A6D3B"/>
        </w:pBdr>
        <w:keepNext w:val="true"/>
        <w:keepLines w:val="true"/>
      </w:pPr>
      <w:r>
        <w:rPr>
          <w:rFonts w:ascii="Helvetica Neue" w:hAnsi="Helvetica Neue"/>
          <w:b/>
          <w:i w:val="0"/>
          <w:color w:val="141414"/>
          <w:sz w:val="22"/>
        </w:rPr>
        <w:t>5. Conditions particulières</w:t>
      </w:r>
    </w:p>
    <w:p>
      <w:pPr>
        <w:spacing w:before="0" w:after="0"/>
      </w:pPr>
      <w:r>
        <w:rPr>
          <w:rFonts w:ascii="Georgia" w:hAnsi="Georgia"/>
          <w:b w:val="0"/>
          <w:i w:val="0"/>
          <w:color w:val="141414"/>
          <w:sz w:val="21"/>
        </w:rPr>
        <w:t>[…]</w:t>
      </w:r>
    </w:p>
    <w:p>
      <w:pPr>
        <w:spacing w:before="200" w:after="342"/>
        <w:pBdr>
          <w:bottom w:val="single" w:sz="6" w:space="2" w:color="8A6D3B"/>
        </w:pBdr>
        <w:keepNext w:val="true"/>
        <w:keepLines w:val="true"/>
      </w:pPr>
      <w:r>
        <w:rPr>
          <w:rFonts w:ascii="Helvetica Neue" w:hAnsi="Helvetica Neue"/>
          <w:b/>
          <w:i w:val="0"/>
          <w:color w:val="141414"/>
          <w:sz w:val="22"/>
        </w:rPr>
        <w:t>6. Déclaration des parties</w:t>
      </w:r>
    </w:p>
    <w:p>
      <w:pPr>
        <w:spacing w:before="200" w:after="8"/>
        <w:pBdr>
          <w:bottom w:val="single" w:sz="6" w:space="2" w:color="8A6D3B"/>
        </w:pBdr>
        <w:keepNext w:val="true"/>
        <w:keepLines w:val="true"/>
      </w:pPr>
      <w:r>
        <w:rPr>
          <w:rFonts w:ascii="Helvetica Neue" w:hAnsi="Helvetica Neue"/>
          <w:b w:val="0"/>
          <w:i w:val="0"/>
          <w:color w:val="141414"/>
          <w:sz w:val="22"/>
        </w:rPr>
        <w:t>Bailleur et preneur déclarent ne pas être l'objet de poursuites ou de condamnations dans le cadre d'une procédure collective (faillite, redressement ou liquidation judiciaire), ni d'une interdiction ou déchéance de droits civiques limitant leur capacité juridique.</w:t>
      </w:r>
    </w:p>
    <w:p>
      <w:pPr>
        <w:spacing w:before="200" w:after="240"/>
        <w:pBdr>
          <w:bottom w:val="single" w:sz="6" w:space="2" w:color="8A6D3B"/>
        </w:pBdr>
        <w:keepNext w:val="true"/>
        <w:keepLines w:val="true"/>
      </w:pPr>
      <w:r>
        <w:rPr>
          <w:rFonts w:ascii="Helvetica Neue" w:hAnsi="Helvetica Neue"/>
          <w:b/>
          <w:i w:val="0"/>
          <w:color w:val="141414"/>
          <w:sz w:val="22"/>
        </w:rPr>
        <w:t>7. Signatures</w:t>
      </w:r>
    </w:p>
    <w:p>
      <w:pPr>
        <w:spacing w:before="0" w:after="65"/>
      </w:pPr>
      <w:r>
        <w:rPr>
          <w:rFonts w:ascii="Georgia" w:hAnsi="Georgia"/>
          <w:b w:val="0"/>
          <w:i/>
          <w:color w:val="434343"/>
          <w:sz w:val="18"/>
        </w:rPr>
        <w:t>Le présent avenant formalise la mise à jour du bail après le départ du colocataire ; il est signé par le bailleur, par les colocataires demeurant en place, et par le colocataire sortant.</w:t>
      </w:r>
    </w:p>
    <w:p>
      <w:pPr>
        <w:spacing w:before="0" w:after="445"/>
      </w:pPr>
      <w:r>
        <w:rPr>
          <w:rFonts w:ascii="Georgia" w:hAnsi="Georgia"/>
          <w:b w:val="0"/>
          <w:i w:val="0"/>
          <w:color w:val="141414"/>
          <w:sz w:val="19"/>
        </w:rPr>
        <w:t>Fait à […], le […], en autant d'exemplaires originaux que de parties.</w:t>
      </w:r>
    </w:p>
    <w:tbl>
      <w:tblPr>
        <w:jc w:val="center"/>
        <w:tblLook w:firstColumn="1" w:firstRow="1" w:lastColumn="0" w:lastRow="0" w:noHBand="0" w:noVBand="1" w:val="04A0"/>
        <w:tblW w:w="8850" w:type="dxa"/>
        <w:tblLayout w:type="fixed"/>
        <w:tblCellMar>
          <w:top w:w="34" w:type="dxa"/>
          <w:left w:w="170" w:type="dxa"/>
          <w:bottom w:w="34" w:type="dxa"/>
          <w:right w:w="170" w:type="dxa"/>
        </w:tblCellMar>
      </w:tblPr>
      <w:tblGrid>
        <w:gridCol w:w="4290"/>
        <w:gridCol w:w="285"/>
        <w:gridCol w:w="4275"/>
      </w:tblGrid>
      <w:tr>
        <w:trPr>
          <w:trHeight w:val="1950" w:hRule="atLeast"/>
          <w:cantSplit w:val="true"/>
        </w:trPr>
        <w:tc>
          <w:tcPr>
            <w:tcW w:type="dxa" w:w="3137"/>
            <w:tcW w:w="4290" w:type="dxa"/>
            <w:tcBorders>
              <w:top w:val="single" w:sz="4" w:color="CCCCCC"/>
              <w:left w:val="single" w:sz="4" w:color="CCCCCC"/>
              <w:bottom w:val="single" w:sz="4" w:color="CCCCCC"/>
              <w:right w:val="single" w:sz="4" w:color="CCCCCC"/>
            </w:tcBorders>
          </w:tcPr>
          <w:p>
            <w:pPr>
              <w:spacing w:before="0" w:after="0"/>
            </w:pPr>
            <w:r>
              <w:rPr>
                <w:rFonts w:ascii="Helvetica Neue" w:hAnsi="Helvetica Neue"/>
                <w:b/>
                <w:i w:val="0"/>
                <w:smallCaps/>
                <w:color w:val="8A6D3B"/>
                <w:sz w:val="20"/>
              </w:rPr>
              <w:t>Le bailleur</w:t>
            </w:r>
            <w:r>
              <w:br/>
            </w:r>
            <w:r>
              <w:br/>
            </w:r>
            <w:r>
              <w:rPr>
                <w:rFonts w:ascii="Georgia" w:hAnsi="Georgia"/>
                <w:b w:val="0"/>
                <w:i w:val="0"/>
                <w:color w:val="1A1A1A"/>
                <w:sz w:val="18"/>
              </w:rPr>
              <w:t xml:space="preserve"> Le […], à […]</w:t>
            </w:r>
            <w:r>
              <w:br/>
            </w:r>
            <w:r>
              <w:br/>
            </w:r>
            <w:r>
              <w:br/>
            </w:r>
            <w:r>
              <w:rPr>
                <w:rFonts w:ascii="Georgia" w:hAnsi="Georgia"/>
                <w:b w:val="0"/>
                <w:i/>
                <w:color w:val="1A1A1A"/>
                <w:sz w:val="18"/>
              </w:rPr>
              <w:t>Signature</w:t>
            </w:r>
            <w:r>
              <w:rPr>
                <w:rFonts w:ascii="Helvetica Neue" w:hAnsi="Helvetica Neue"/>
                <w:b/>
                <w:i w:val="0"/>
                <w:color w:val="8A6D3B"/>
                <w:sz w:val="17"/>
              </w:rPr>
              <w:t xml:space="preserve"> </w:t>
            </w:r>
            <w:r>
              <w:rPr>
                <w:rFonts w:ascii="Georgia" w:hAnsi="Georgia"/>
                <w:b w:val="0"/>
                <w:i w:val="0"/>
                <w:color w:val="888888"/>
                <w:sz w:val="15"/>
              </w:rPr>
              <w:t>(ou de son mandataire, le cas échéant)</w:t>
            </w:r>
          </w:p>
        </w:tc>
        <w:tc>
          <w:tcPr>
            <w:tcW w:type="dxa" w:w="3137"/>
            <w:tcW w:w="285" w:type="dxa"/>
          </w:tcPr>
          <w:p/>
        </w:tc>
        <w:tc>
          <w:tcPr>
            <w:tcW w:type="dxa" w:w="3137"/>
            <w:tcW w:w="4275" w:type="dxa"/>
            <w:tcBorders>
              <w:top w:val="single" w:sz="4" w:color="CCCCCC"/>
              <w:left w:val="single" w:sz="4" w:color="CCCCCC"/>
              <w:bottom w:val="single" w:sz="4" w:color="CCCCCC"/>
              <w:right w:val="single" w:sz="4" w:color="CCCCCC"/>
            </w:tcBorders>
          </w:tcPr>
          <w:p>
            <w:pPr>
              <w:spacing w:before="0" w:after="0"/>
            </w:pPr>
            <w:r>
              <w:rPr>
                <w:rFonts w:ascii="Helvetica Neue" w:hAnsi="Helvetica Neue"/>
                <w:b/>
                <w:i w:val="0"/>
                <w:smallCaps/>
                <w:color w:val="8A6D3B"/>
                <w:sz w:val="20"/>
              </w:rPr>
              <w:t>Colocataires en place</w:t>
            </w:r>
            <w:r>
              <w:br/>
            </w:r>
            <w:r>
              <w:br/>
            </w:r>
            <w:r>
              <w:rPr>
                <w:rFonts w:ascii="Georgia" w:hAnsi="Georgia"/>
                <w:b w:val="0"/>
                <w:i w:val="0"/>
                <w:color w:val="1A1A1A"/>
                <w:sz w:val="18"/>
              </w:rPr>
              <w:t xml:space="preserve"> Le […], à […]</w:t>
            </w:r>
            <w:r>
              <w:br/>
            </w:r>
            <w:r>
              <w:br/>
            </w:r>
            <w:r>
              <w:br/>
            </w:r>
            <w:r>
              <w:rPr>
                <w:rFonts w:ascii="Georgia" w:hAnsi="Georgia"/>
                <w:b w:val="0"/>
                <w:i/>
                <w:color w:val="1A1A1A"/>
                <w:sz w:val="18"/>
              </w:rPr>
              <w:t>Signature</w:t>
            </w:r>
          </w:p>
        </w:tc>
      </w:tr>
    </w:tbl>
    <w:p>
      <w:pPr>
        <w:spacing w:after="120" w:before="0"/>
      </w:pPr>
    </w:p>
    <w:tbl>
      <w:tblPr>
        <w:tblW w:type="auto" w:w="0"/>
        <w:jc w:val="center"/>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CellMar>
          <w:top w:w="34" w:type="dxa"/>
          <w:left w:w="130" w:type="dxa"/>
          <w:bottom w:w="34" w:type="dxa"/>
          <w:right w:w="130" w:type="dxa"/>
        </w:tblCellMar>
      </w:tblPr>
      <w:tblGrid>
        <w:gridCol w:w="4706"/>
        <w:gridCol w:w="4706"/>
      </w:tblGrid>
      <w:tr>
        <w:trPr>
          <w:trHeight w:val="391" w:hRule="atLeast"/>
          <w:cantSplit w:val="true"/>
          <w:tblHeader w:val="true"/>
        </w:trPr>
        <w:tc>
          <w:tcPr>
            <w:tcW w:type="dxa" w:w="4706"/>
            <w:tcW w:w="4706" w:type="dxa"/>
          </w:tcPr>
          <w:p>
            <w:pPr>
              <w:spacing w:before="0" w:after="0"/>
            </w:pPr>
            <w:r>
              <w:rPr>
                <w:rFonts w:ascii="Helvetica Neue" w:hAnsi="Helvetica Neue"/>
                <w:b/>
                <w:i w:val="0"/>
                <w:smallCaps/>
                <w:color w:val="8A6D3B"/>
                <w:sz w:val="20"/>
              </w:rPr>
              <w:t>Colocataire sortant</w:t>
            </w:r>
            <w:r>
              <w:rPr>
                <w:rFonts w:ascii="Georgia" w:hAnsi="Georgia"/>
                <w:b w:val="0"/>
                <w:i w:val="0"/>
                <w:color w:val="1A1A1A"/>
                <w:sz w:val="18"/>
              </w:rPr>
              <w:t xml:space="preserve"> Le […], à […]</w:t>
            </w:r>
            <w:r>
              <w:br/>
            </w:r>
            <w:r>
              <w:br/>
            </w:r>
            <w:r>
              <w:br/>
            </w:r>
            <w:r>
              <w:rPr>
                <w:rFonts w:ascii="Georgia" w:hAnsi="Georgia"/>
                <w:b w:val="0"/>
                <w:i/>
                <w:color w:val="1A1A1A"/>
                <w:sz w:val="18"/>
              </w:rPr>
              <w:t>Signature</w:t>
            </w:r>
          </w:p>
        </w:tc>
        <w:tc>
          <w:tcPr>
            <w:tcW w:type="dxa" w:w="4706"/>
            <w:tcW w:w="4706" w:type="dxa"/>
          </w:tcPr>
          <w:p>
            <w:pPr>
              <w:spacing w:before="0" w:after="0"/>
            </w:pPr>
          </w:p>
        </w:tc>
      </w:tr>
    </w:tbl>
    <w:p>
      <w:pPr>
        <w:spacing w:after="120" w:before="0"/>
      </w:pPr>
    </w:p>
    <w:p>
      <w:pPr>
        <w:framePr w:w="9412" w:hAnchor="margin" w:xAlign="left" w:vAnchor="margin" w:yAlign="bottom" w:wrap="around"/>
        <w:spacing w:before="0" w:after="480"/>
      </w:pPr>
      <w:r>
        <w:rPr>
          <w:rFonts w:ascii="Georgia" w:hAnsi="Georgia"/>
          <w:b/>
          <w:i w:val="0"/>
          <w:color w:val="535353"/>
          <w:sz w:val="15"/>
        </w:rPr>
        <w:t>Références.</w:t>
      </w:r>
      <w:r>
        <w:rPr>
          <w:rFonts w:ascii="Georgia" w:hAnsi="Georgia"/>
          <w:b w:val="0"/>
          <w:i w:val="0"/>
          <w:color w:val="535353"/>
          <w:sz w:val="15"/>
        </w:rPr>
        <w:t xml:space="preserve"> Loi n° 89-462 du 6 juillet 1989, articles 8-1 (VI), 15, 25-8 · Code civil, articles 1103 et 1193.</w:t>
      </w:r>
    </w:p>
    <w:sectPr w:rsidR="00FC693F" w:rsidRPr="0006063C" w:rsidSect="00034616">
      <w:footerReference w:type="default" r:id="rId9"/>
      <w:pgSz w:w="11906" w:h="16838"/>
      <w:pgMar w:top="1020" w:right="1247" w:bottom="85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Helvetica Neue" w:hAnsi="Helvetica Neue"/>
        <w:color w:val="8C8C8C"/>
        <w:sz w:val="13"/>
      </w:rPr>
      <w:t>Document généré via Assetimmo · assetimmo.fr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