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rFonts w:ascii="Helvetica Neue" w:hAnsi="Helvetica Neue"/>
          <w:b/>
          <w:i w:val="0"/>
          <w:color w:val="141414"/>
          <w:sz w:val="36"/>
        </w:rPr>
        <w:t>AVENANT AU CONTRAT DE LOCATION</w:t>
      </w:r>
    </w:p>
    <w:p>
      <w:pPr>
        <w:spacing w:before="0" w:after="480"/>
        <w:jc w:val="center"/>
      </w:pPr>
      <w:r>
        <w:rPr>
          <w:rFonts w:ascii="Georgia" w:hAnsi="Georgia"/>
          <w:b w:val="0"/>
          <w:i/>
          <w:color w:val="434343"/>
          <w:sz w:val="19"/>
        </w:rPr>
        <w:t>Modification des charges locatives</w:t>
      </w:r>
    </w:p>
    <w:p>
      <w:pPr>
        <w:spacing w:before="0" w:after="0"/>
      </w:pPr>
      <w:r>
        <w:br/>
      </w:r>
    </w:p>
    <w:p>
      <w:pPr>
        <w:spacing w:before="200" w:after="325"/>
        <w:pBdr>
          <w:bottom w:val="single" w:sz="6" w:space="2" w:color="8A6D3B"/>
        </w:pBdr>
        <w:keepNext w:val="true"/>
        <w:keepLines w:val="true"/>
      </w:pPr>
      <w:r>
        <w:rPr>
          <w:rFonts w:ascii="Helvetica Neue" w:hAnsi="Helvetica Neue"/>
          <w:b/>
          <w:i w:val="0"/>
          <w:color w:val="141414"/>
          <w:sz w:val="22"/>
        </w:rPr>
        <w:t>Identification du bail modifié</w:t>
      </w:r>
    </w:p>
    <w:p>
      <w:pPr>
        <w:spacing w:before="0" w:after="338"/>
        <w:ind w:left="523"/>
      </w:pPr>
      <w:r>
        <w:rPr>
          <w:rFonts w:ascii="Helvetica Neue" w:hAnsi="Helvetica Neue"/>
          <w:b/>
          <w:i w:val="0"/>
          <w:smallCaps/>
          <w:color w:val="8A6D3B"/>
          <w:sz w:val="20"/>
        </w:rPr>
        <w:t>Bailleur : […]</w:t>
      </w:r>
    </w:p>
    <w:p>
      <w:pPr>
        <w:spacing w:before="0" w:after="338"/>
        <w:ind w:left="523"/>
      </w:pPr>
      <w:r>
        <w:rPr>
          <w:rFonts w:ascii="Helvetica Neue" w:hAnsi="Helvetica Neue"/>
          <w:b/>
          <w:i w:val="0"/>
          <w:smallCaps/>
          <w:color w:val="8A6D3B"/>
          <w:sz w:val="20"/>
        </w:rPr>
        <w:t>Locataire(s) : […]</w:t>
      </w:r>
    </w:p>
    <w:p>
      <w:pPr>
        <w:spacing w:before="0" w:after="133"/>
      </w:pPr>
      <w:r>
        <w:rPr>
          <w:rFonts w:ascii="Georgia" w:hAnsi="Georgia"/>
          <w:b w:val="0"/>
          <w:i w:val="0"/>
          <w:color w:val="141414"/>
          <w:sz w:val="21"/>
        </w:rPr>
        <w:t>Logement situé : […]</w:t>
      </w:r>
    </w:p>
    <w:p>
      <w:pPr>
        <w:spacing w:before="0" w:after="240"/>
      </w:pPr>
      <w:r>
        <w:rPr>
          <w:rFonts w:ascii="Georgia" w:hAnsi="Georgia"/>
          <w:b w:val="0"/>
          <w:i w:val="0"/>
          <w:color w:val="141414"/>
          <w:sz w:val="21"/>
        </w:rPr>
        <w:t xml:space="preserve">Type de location : </w:t>
      </w:r>
      <w:r>
        <w:rPr>
          <w:rFonts w:ascii="Apple Symbols" w:hAnsi="Apple Symbols"/>
          <w:b w:val="0"/>
          <w:i w:val="0"/>
          <w:color w:val="141414"/>
          <w:sz w:val="25"/>
        </w:rPr>
        <w:t>☐</w:t>
      </w:r>
      <w:r>
        <w:rPr>
          <w:rFonts w:ascii="Georgia" w:hAnsi="Georgia"/>
          <w:b w:val="0"/>
          <w:i w:val="0"/>
          <w:color w:val="141414"/>
          <w:sz w:val="21"/>
        </w:rPr>
        <w:t xml:space="preserve"> Nu    </w:t>
      </w:r>
      <w:r>
        <w:rPr>
          <w:rFonts w:ascii="Apple Symbols" w:hAnsi="Apple Symbols"/>
          <w:b w:val="0"/>
          <w:i w:val="0"/>
          <w:color w:val="141414"/>
          <w:sz w:val="25"/>
        </w:rPr>
        <w:t>☐</w:t>
      </w:r>
      <w:r>
        <w:rPr>
          <w:rFonts w:ascii="Georgia" w:hAnsi="Georgia"/>
          <w:b w:val="0"/>
          <w:i w:val="0"/>
          <w:color w:val="141414"/>
          <w:sz w:val="21"/>
        </w:rPr>
        <w:t xml:space="preserve"> Meublé</w:t>
      </w:r>
    </w:p>
    <w:p>
      <w:pPr>
        <w:spacing w:before="0" w:after="133"/>
      </w:pPr>
      <w:r>
        <w:rPr>
          <w:rFonts w:ascii="Georgia" w:hAnsi="Georgia"/>
          <w:b w:val="0"/>
          <w:i w:val="0"/>
          <w:color w:val="141414"/>
          <w:sz w:val="21"/>
        </w:rPr>
        <w:t>Contrat de location initial en date du : […]</w:t>
      </w:r>
    </w:p>
    <w:p>
      <w:pPr>
        <w:spacing w:before="0" w:after="31"/>
      </w:pPr>
      <w:r>
        <w:rPr>
          <w:rFonts w:ascii="Georgia" w:hAnsi="Georgia"/>
          <w:b w:val="0"/>
          <w:i w:val="0"/>
          <w:color w:val="141414"/>
          <w:sz w:val="21"/>
        </w:rPr>
        <w:t>En application des articles 1751 et 515-4 du code civil, le présent avenant est de plein droit opposable au conjoint du locataire — cotitulaire légal du bail (art. 1751) — et à son partenaire lié par un pacte civil de solidarité — solidaire des dettes de la vie courante, dont le loyer (art. 515-4) — même si leur existence n'a pas été portée à la connaissance du bailleur avant la signature du présent avenant.</w:t>
      </w:r>
    </w:p>
    <w:p>
      <w:pPr>
        <w:spacing w:before="200" w:after="325"/>
        <w:pBdr>
          <w:bottom w:val="single" w:sz="6" w:space="2" w:color="8A6D3B"/>
        </w:pBdr>
        <w:keepNext w:val="true"/>
        <w:keepLines w:val="true"/>
      </w:pPr>
      <w:r>
        <w:rPr>
          <w:rFonts w:ascii="Helvetica Neue" w:hAnsi="Helvetica Neue"/>
          <w:b/>
          <w:i w:val="0"/>
          <w:color w:val="141414"/>
          <w:sz w:val="22"/>
        </w:rPr>
        <w:t>1. Mode de règlement des charges — état actuel et nouveau mode</w:t>
      </w:r>
    </w:p>
    <w:p>
      <w:pPr>
        <w:spacing w:before="0" w:after="223"/>
      </w:pPr>
      <w:r>
        <w:rPr>
          <w:rFonts w:ascii="Georgia" w:hAnsi="Georgia"/>
          <w:b w:val="0"/>
          <w:i w:val="0"/>
          <w:color w:val="141414"/>
          <w:sz w:val="21"/>
        </w:rPr>
        <w:t xml:space="preserve">Mode actuel : </w:t>
      </w:r>
      <w:r>
        <w:rPr>
          <w:rFonts w:ascii="Apple Symbols" w:hAnsi="Apple Symbols"/>
          <w:b w:val="0"/>
          <w:i w:val="0"/>
          <w:color w:val="141414"/>
          <w:sz w:val="25"/>
        </w:rPr>
        <w:t>☐</w:t>
      </w:r>
      <w:r>
        <w:rPr>
          <w:rFonts w:ascii="Georgia" w:hAnsi="Georgia"/>
          <w:b w:val="0"/>
          <w:i w:val="0"/>
          <w:color w:val="141414"/>
          <w:sz w:val="21"/>
        </w:rPr>
        <w:t xml:space="preserve"> Provisions avec régularisation annuelle    </w:t>
      </w:r>
      <w:r>
        <w:rPr>
          <w:rFonts w:ascii="Apple Symbols" w:hAnsi="Apple Symbols"/>
          <w:b w:val="0"/>
          <w:i w:val="0"/>
          <w:color w:val="141414"/>
          <w:sz w:val="25"/>
        </w:rPr>
        <w:t>☐</w:t>
      </w:r>
      <w:r>
        <w:rPr>
          <w:rFonts w:ascii="Georgia" w:hAnsi="Georgia"/>
          <w:b w:val="0"/>
          <w:i w:val="0"/>
          <w:color w:val="141414"/>
          <w:sz w:val="21"/>
        </w:rPr>
        <w:t xml:space="preserve"> Forfait</w:t>
      </w:r>
    </w:p>
    <w:p>
      <w:pPr>
        <w:spacing w:before="0" w:after="195"/>
      </w:pPr>
      <w:r>
        <w:rPr>
          <w:rFonts w:ascii="Georgia" w:hAnsi="Georgia"/>
          <w:b w:val="0"/>
          <w:i w:val="0"/>
          <w:color w:val="141414"/>
          <w:sz w:val="21"/>
        </w:rPr>
        <w:t xml:space="preserve">Nouveau mode retenu : </w:t>
      </w:r>
      <w:r>
        <w:rPr>
          <w:rFonts w:ascii="Apple Symbols" w:hAnsi="Apple Symbols"/>
          <w:b w:val="0"/>
          <w:i w:val="0"/>
          <w:color w:val="141414"/>
          <w:sz w:val="25"/>
        </w:rPr>
        <w:t>☐</w:t>
      </w:r>
      <w:r>
        <w:rPr>
          <w:rFonts w:ascii="Georgia" w:hAnsi="Georgia"/>
          <w:b w:val="0"/>
          <w:i w:val="0"/>
          <w:color w:val="141414"/>
          <w:sz w:val="21"/>
        </w:rPr>
        <w:t xml:space="preserve"> Provisions avec régularisation annuelle    </w:t>
      </w:r>
      <w:r>
        <w:rPr>
          <w:rFonts w:ascii="Apple Symbols" w:hAnsi="Apple Symbols"/>
          <w:b w:val="0"/>
          <w:i w:val="0"/>
          <w:color w:val="141414"/>
          <w:sz w:val="25"/>
        </w:rPr>
        <w:t>☐</w:t>
      </w:r>
      <w:r>
        <w:rPr>
          <w:rFonts w:ascii="Georgia" w:hAnsi="Georgia"/>
          <w:b w:val="0"/>
          <w:i w:val="0"/>
          <w:color w:val="141414"/>
          <w:sz w:val="21"/>
        </w:rPr>
        <w:t xml:space="preserve"> Forfait</w:t>
      </w:r>
    </w:p>
    <w:p>
      <w:pPr>
        <w:spacing w:before="0" w:after="25"/>
      </w:pPr>
      <w:r>
        <w:rPr>
          <w:rFonts w:ascii="Georgia" w:hAnsi="Georgia"/>
          <w:b w:val="0"/>
          <w:i w:val="0"/>
          <w:color w:val="141414"/>
          <w:sz w:val="21"/>
        </w:rPr>
        <w:t>En logement nu hors colocation, le passage à un forfait n'est pas ouvert par la loi : seules la colocation (nu ou meublé, art. 8-1) et la location meublée simple (art. 25-10) permettent le forfait. En dehors de ces deux cas, les charges se règlent par provisions avec régularisation annuelle.</w:t>
      </w:r>
    </w:p>
    <w:p>
      <w:pPr>
        <w:spacing w:before="200" w:after="291"/>
        <w:pBdr>
          <w:bottom w:val="single" w:sz="6" w:space="2" w:color="8A6D3B"/>
        </w:pBdr>
        <w:keepNext w:val="true"/>
        <w:keepLines w:val="true"/>
      </w:pPr>
      <w:r>
        <w:rPr>
          <w:rFonts w:ascii="Helvetica Neue" w:hAnsi="Helvetica Neue"/>
          <w:b/>
          <w:i w:val="0"/>
          <w:color w:val="141414"/>
          <w:sz w:val="22"/>
        </w:rPr>
        <w:t>2. Nouveau montant</w:t>
      </w:r>
    </w:p>
    <w:p>
      <w:pPr>
        <w:spacing w:before="0" w:after="133"/>
      </w:pPr>
      <w:r>
        <w:rPr>
          <w:rFonts w:ascii="Georgia" w:hAnsi="Georgia"/>
          <w:b w:val="0"/>
          <w:i w:val="0"/>
          <w:color w:val="141414"/>
          <w:sz w:val="21"/>
        </w:rPr>
        <w:t>Montant actuel des provisions ou du forfait mensuel : […] €</w:t>
      </w:r>
    </w:p>
    <w:p>
      <w:pPr>
        <w:spacing w:before="0" w:after="133"/>
      </w:pPr>
      <w:r>
        <w:rPr>
          <w:rFonts w:ascii="Georgia" w:hAnsi="Georgia"/>
          <w:b w:val="0"/>
          <w:i w:val="0"/>
          <w:color w:val="141414"/>
          <w:sz w:val="21"/>
        </w:rPr>
        <w:t>Nouveau montant mensuel : […] €</w:t>
      </w:r>
    </w:p>
    <w:p>
      <w:pPr>
        <w:spacing w:before="0" w:after="150"/>
      </w:pPr>
      <w:r>
        <w:rPr>
          <w:rFonts w:ascii="Georgia" w:hAnsi="Georgia"/>
          <w:b w:val="0"/>
          <w:i w:val="0"/>
          <w:color w:val="141414"/>
          <w:sz w:val="21"/>
        </w:rPr>
        <w:t>Date d'effet : […]</w:t>
      </w:r>
    </w:p>
    <w:p>
      <w:pPr>
        <w:spacing w:before="0" w:after="31"/>
      </w:pPr>
      <w:r>
        <w:rPr>
          <w:rFonts w:ascii="Georgia" w:hAnsi="Georgia"/>
          <w:b w:val="0"/>
          <w:i w:val="0"/>
          <w:color w:val="141414"/>
          <w:sz w:val="21"/>
        </w:rPr>
        <w:t>Si le forfait est retenu ou modifié, son montant ne peut être manifestement disproportionné au regard des charges dont le locataire se serait acquitté sur justification des dépenses engagées par le bailleur (art. 8-1 et 25-10) — et il ne donne lieu à aucune régularisation ultérieure : il est définitif jusqu'à sa prochaine révision.</w:t>
      </w:r>
    </w:p>
    <w:p>
      <w:pPr>
        <w:spacing w:before="200" w:after="30"/>
        <w:pBdr>
          <w:bottom w:val="single" w:sz="6" w:space="2" w:color="8A6D3B"/>
        </w:pBdr>
        <w:keepNext w:val="true"/>
        <w:keepLines w:val="true"/>
      </w:pPr>
      <w:r>
        <w:rPr>
          <w:rFonts w:ascii="Helvetica Neue" w:hAnsi="Helvetica Neue"/>
          <w:b/>
          <w:i w:val="0"/>
          <w:color w:val="141414"/>
          <w:sz w:val="22"/>
        </w:rPr>
        <w:t>3. Le cas échéant, contribution au partage des économies de charges — logement nu uniquement</w:t>
      </w:r>
    </w:p>
    <w:p>
      <w:pPr>
        <w:spacing w:before="0" w:after="42"/>
      </w:pPr>
      <w:r>
        <w:rPr>
          <w:rFonts w:ascii="Apple Symbols" w:hAnsi="Apple Symbols"/>
          <w:b w:val="0"/>
          <w:i w:val="0"/>
          <w:color w:val="141414"/>
          <w:sz w:val="25"/>
        </w:rPr>
        <w:t>☐</w:t>
      </w:r>
      <w:r>
        <w:rPr>
          <w:rFonts w:ascii="Georgia" w:hAnsi="Georgia"/>
          <w:b w:val="0"/>
          <w:i w:val="0"/>
          <w:color w:val="141414"/>
          <w:sz w:val="21"/>
        </w:rPr>
        <w:t xml:space="preserve"> Le bailleur a réalisé des travaux d'économie d'énergie dans les parties privatives du logement ou dans les parties communes de l'immeuble, dont le locataire bénéficie directement.</w:t>
      </w:r>
    </w:p>
    <w:p>
      <w:pPr>
        <w:spacing w:before="0" w:after="138"/>
      </w:pPr>
      <w:r>
        <w:rPr>
          <w:rFonts w:ascii="Georgia" w:hAnsi="Georgia"/>
          <w:b w:val="0"/>
          <w:i w:val="0"/>
          <w:color w:val="141414"/>
          <w:sz w:val="21"/>
        </w:rPr>
        <w:t>Nature des travaux et date d'achèvement : […]</w:t>
      </w:r>
    </w:p>
    <w:p>
      <w:pPr>
        <w:spacing w:before="0" w:after="133"/>
      </w:pPr>
      <w:r>
        <w:rPr>
          <w:rFonts w:ascii="Georgia" w:hAnsi="Georgia"/>
          <w:b w:val="0"/>
          <w:i w:val="0"/>
          <w:color w:val="141414"/>
          <w:sz w:val="21"/>
        </w:rPr>
        <w:t>Classe du DPE avant travaux : […]   Classe du DPE après travaux : […]</w:t>
      </w:r>
    </w:p>
    <w:p>
      <w:pPr>
        <w:spacing w:before="0" w:after="150"/>
      </w:pPr>
      <w:r>
        <w:rPr>
          <w:rFonts w:ascii="Georgia" w:hAnsi="Georgia"/>
          <w:b w:val="0"/>
          <w:i w:val="0"/>
          <w:color w:val="141414"/>
          <w:sz w:val="21"/>
        </w:rPr>
        <w:t>Montant de l'économie d'énergie estimée (annuelle) : […] €</w:t>
      </w:r>
    </w:p>
    <w:p>
      <w:pPr>
        <w:spacing w:before="0" w:after="133"/>
      </w:pPr>
      <w:r>
        <w:rPr>
          <w:rFonts w:ascii="Georgia" w:hAnsi="Georgia"/>
          <w:b w:val="0"/>
          <w:i w:val="0"/>
          <w:color w:val="141414"/>
          <w:sz w:val="21"/>
        </w:rPr>
        <w:t>Montant de la contribution demandée au locataire, fixe et non révisable : […] € / mois</w:t>
      </w:r>
    </w:p>
    <w:p>
      <w:pPr>
        <w:spacing w:before="0" w:after="87"/>
      </w:pPr>
      <w:r>
        <w:rPr>
          <w:rFonts w:ascii="Georgia" w:hAnsi="Georgia"/>
          <w:b w:val="0"/>
          <w:i w:val="0"/>
          <w:color w:val="141414"/>
          <w:sz w:val="21"/>
        </w:rPr>
        <w:t>Cette contribution respecte les conditions suivantes, à peine d'être injustifiée :</w:t>
      </w:r>
    </w:p>
    <w:p>
      <w:pPr>
        <w:spacing w:before="0" w:after="480"/>
      </w:pPr>
      <w:r>
        <w:rPr>
          <w:rFonts w:ascii="Times" w:hAnsi="Times"/>
          <w:b w:val="0"/>
          <w:i w:val="0"/>
          <w:color w:val="000000"/>
          <w:sz w:val="18"/>
        </w:rPr>
        <w:t>•</w:t>
      </w:r>
      <w:r>
        <w:rPr>
          <w:rFonts w:ascii="Times" w:hAnsi="Times"/>
          <w:b w:val="0"/>
          <w:i w:val="0"/>
          <w:color w:val="000000"/>
          <w:sz w:val="18"/>
        </w:rPr>
        <w:t xml:space="preserve">  </w:t>
      </w:r>
      <w:r>
        <w:rPr>
          <w:rFonts w:ascii="Times" w:hAnsi="Times"/>
          <w:b w:val="0"/>
          <w:i w:val="0"/>
          <w:color w:val="000000"/>
          <w:sz w:val="18"/>
        </w:rPr>
        <w:t>elle n'est exigible que si un ensemble de travaux a été réalisé, et non un seul geste isolé ;</w:t>
      </w:r>
    </w:p>
    <w:p>
      <w:pPr>
        <w:spacing w:before="0" w:after="65"/>
      </w:pPr>
      <w:r>
        <w:rPr>
          <w:rFonts w:ascii="Times" w:hAnsi="Times"/>
          <w:b w:val="0"/>
          <w:i w:val="0"/>
          <w:color w:val="000000"/>
          <w:sz w:val="18"/>
        </w:rPr>
        <w:t>•</w:t>
      </w:r>
      <w:r>
        <w:rPr>
          <w:rFonts w:ascii="Times" w:hAnsi="Times"/>
          <w:b w:val="0"/>
          <w:i w:val="0"/>
          <w:color w:val="000000"/>
          <w:sz w:val="18"/>
        </w:rPr>
        <w:t xml:space="preserve">  </w:t>
      </w:r>
      <w:r>
        <w:rPr>
          <w:rFonts w:ascii="Times" w:hAnsi="Times"/>
          <w:b w:val="0"/>
          <w:i w:val="0"/>
          <w:color w:val="000000"/>
          <w:sz w:val="18"/>
        </w:rPr>
        <w:t>le logement doit atteindre un niveau de performance compris entre la classe A et la classe E du diagnostic de performance énergétique après travaux ;</w:t>
      </w:r>
    </w:p>
    <w:p>
      <w:pPr>
        <w:spacing w:before="0" w:after="480"/>
      </w:pPr>
      <w:r>
        <w:rPr>
          <w:rFonts w:ascii="Times" w:hAnsi="Times"/>
          <w:b w:val="0"/>
          <w:i w:val="0"/>
          <w:color w:val="000000"/>
          <w:sz w:val="18"/>
        </w:rPr>
        <w:t>•</w:t>
      </w:r>
      <w:r>
        <w:rPr>
          <w:rFonts w:ascii="Times" w:hAnsi="Times"/>
          <w:b w:val="0"/>
          <w:i w:val="0"/>
          <w:color w:val="000000"/>
          <w:sz w:val="18"/>
        </w:rPr>
        <w:t xml:space="preserve">  </w:t>
      </w:r>
      <w:r>
        <w:rPr>
          <w:rFonts w:ascii="Times" w:hAnsi="Times"/>
          <w:b w:val="0"/>
          <w:i w:val="0"/>
          <w:color w:val="000000"/>
          <w:sz w:val="18"/>
        </w:rPr>
        <w:t>son montant ne peut excéder la moitié du montant de l'économie d'énergie estimée ;</w:t>
      </w:r>
    </w:p>
    <w:p>
      <w:pPr>
        <w:spacing w:before="0" w:after="184"/>
      </w:pPr>
      <w:r>
        <w:rPr>
          <w:rFonts w:ascii="Times" w:hAnsi="Times"/>
          <w:b w:val="0"/>
          <w:i w:val="0"/>
          <w:color w:val="000000"/>
          <w:sz w:val="18"/>
        </w:rPr>
        <w:t>•</w:t>
      </w:r>
      <w:r>
        <w:rPr>
          <w:rFonts w:ascii="Times" w:hAnsi="Times"/>
          <w:b w:val="0"/>
          <w:i w:val="0"/>
          <w:color w:val="000000"/>
          <w:sz w:val="18"/>
        </w:rPr>
        <w:t xml:space="preserve">  </w:t>
      </w:r>
      <w:r>
        <w:rPr>
          <w:rFonts w:ascii="Times" w:hAnsi="Times"/>
          <w:b w:val="0"/>
          <w:i w:val="0"/>
          <w:color w:val="000000"/>
          <w:sz w:val="18"/>
        </w:rPr>
        <w:t>elle est due pour quinze ans au maximum à compter de la date d'achèvement des travaux ;</w:t>
      </w:r>
    </w:p>
    <w:p>
      <w:pPr>
        <w:spacing w:before="0" w:after="184"/>
      </w:pPr>
      <w:r>
        <w:rPr>
          <w:rFonts w:ascii="Times" w:hAnsi="Times"/>
          <w:b w:val="0"/>
          <w:i w:val="0"/>
          <w:color w:val="000000"/>
          <w:sz w:val="18"/>
        </w:rPr>
        <w:t>•</w:t>
      </w:r>
      <w:r>
        <w:rPr>
          <w:rFonts w:ascii="Times" w:hAnsi="Times"/>
          <w:b w:val="0"/>
          <w:i w:val="0"/>
          <w:color w:val="000000"/>
          <w:sz w:val="18"/>
        </w:rPr>
        <w:t xml:space="preserve">  </w:t>
      </w:r>
      <w:r>
        <w:rPr>
          <w:rFonts w:ascii="Times" w:hAnsi="Times"/>
          <w:b w:val="0"/>
          <w:i w:val="0"/>
          <w:color w:val="000000"/>
          <w:sz w:val="18"/>
        </w:rPr>
        <w:t>elle est fixe et non révisable pendant toute sa durée ;</w:t>
      </w:r>
    </w:p>
    <w:p>
      <w:pPr>
        <w:spacing w:before="0" w:after="230"/>
      </w:pPr>
      <w:r>
        <w:rPr>
          <w:rFonts w:ascii="Times" w:hAnsi="Times"/>
          <w:b w:val="0"/>
          <w:i w:val="0"/>
          <w:color w:val="000000"/>
          <w:sz w:val="18"/>
        </w:rPr>
        <w:t>•</w:t>
      </w:r>
      <w:r>
        <w:rPr>
          <w:rFonts w:ascii="Times" w:hAnsi="Times"/>
          <w:b w:val="0"/>
          <w:i w:val="0"/>
          <w:color w:val="000000"/>
          <w:sz w:val="18"/>
        </w:rPr>
        <w:t xml:space="preserve">  </w:t>
      </w:r>
      <w:r>
        <w:rPr>
          <w:rFonts w:ascii="Times" w:hAnsi="Times"/>
          <w:b w:val="0"/>
          <w:i w:val="0"/>
          <w:color w:val="000000"/>
          <w:sz w:val="18"/>
        </w:rPr>
        <w:t>elle sera inscrite sur l'avis d'échéance et portée sur la quittance remise au locataire.</w:t>
      </w:r>
    </w:p>
    <w:p>
      <w:pPr>
        <w:spacing w:before="0" w:after="286"/>
      </w:pPr>
      <w:r>
        <w:rPr>
          <w:rFonts w:ascii="Georgia" w:hAnsi="Georgia"/>
          <w:b w:val="0"/>
          <w:i w:val="0"/>
          <w:color w:val="141414"/>
          <w:sz w:val="21"/>
        </w:rPr>
        <w:t>Date de fin de la contribution (échéance des 15 ans au plus tard) : […]</w:t>
      </w:r>
    </w:p>
    <w:p>
      <w:pPr>
        <w:spacing w:before="200" w:after="308"/>
        <w:pBdr>
          <w:bottom w:val="single" w:sz="6" w:space="2" w:color="8A6D3B"/>
        </w:pBdr>
        <w:keepNext w:val="true"/>
        <w:keepLines w:val="true"/>
      </w:pPr>
      <w:r>
        <w:rPr>
          <w:rFonts w:ascii="Helvetica Neue" w:hAnsi="Helvetica Neue"/>
          <w:b/>
          <w:i w:val="0"/>
          <w:color w:val="141414"/>
          <w:sz w:val="22"/>
        </w:rPr>
        <w:t>4. Conditions particulières</w:t>
      </w:r>
    </w:p>
    <w:p>
      <w:pPr>
        <w:spacing w:before="0" w:after="0"/>
      </w:pPr>
      <w:r>
        <w:rPr>
          <w:rFonts w:ascii="Georgia" w:hAnsi="Georgia"/>
          <w:b w:val="0"/>
          <w:i w:val="0"/>
          <w:color w:val="141414"/>
          <w:sz w:val="21"/>
        </w:rPr>
        <w:t>[…]</w:t>
      </w:r>
    </w:p>
    <w:p>
      <w:pPr>
        <w:spacing w:before="200" w:after="308"/>
        <w:pBdr>
          <w:bottom w:val="single" w:sz="6" w:space="2" w:color="8A6D3B"/>
        </w:pBdr>
        <w:keepNext w:val="true"/>
        <w:keepLines w:val="true"/>
      </w:pPr>
      <w:r>
        <w:rPr>
          <w:rFonts w:ascii="Helvetica Neue" w:hAnsi="Helvetica Neue"/>
          <w:b/>
          <w:i w:val="0"/>
          <w:color w:val="141414"/>
          <w:sz w:val="22"/>
        </w:rPr>
        <w:t>5. Déclaration des parties</w:t>
      </w:r>
    </w:p>
    <w:p>
      <w:pPr>
        <w:spacing w:before="0" w:after="31"/>
      </w:pPr>
      <w:r>
        <w:rPr>
          <w:rFonts w:ascii="Georgia" w:hAnsi="Georgia"/>
          <w:b w:val="0"/>
          <w:i w:val="0"/>
          <w:color w:val="141414"/>
          <w:sz w:val="21"/>
        </w:rPr>
        <w:t>Bailleur et preneur déclarent ne pas être l'objet de poursuites ou de condamnations dans le cadre d'une procédure collective (faillite, redressement ou liquidation judiciaire), ni d'une interdiction ou déchéance de droits civiques limitant leur capacité juridique.</w:t>
      </w:r>
    </w:p>
    <w:p>
      <w:pPr>
        <w:spacing w:before="200" w:after="257"/>
        <w:pBdr>
          <w:bottom w:val="single" w:sz="6" w:space="2" w:color="8A6D3B"/>
        </w:pBdr>
        <w:keepNext w:val="true"/>
        <w:keepLines w:val="true"/>
      </w:pPr>
      <w:r>
        <w:rPr>
          <w:rFonts w:ascii="Helvetica Neue" w:hAnsi="Helvetica Neue"/>
          <w:b/>
          <w:i w:val="0"/>
          <w:color w:val="141414"/>
          <w:sz w:val="22"/>
        </w:rPr>
        <w:t>6. Signatures</w:t>
      </w:r>
    </w:p>
    <w:p>
      <w:pPr>
        <w:spacing w:before="0" w:after="59"/>
      </w:pPr>
      <w:r>
        <w:rPr>
          <w:rFonts w:ascii="Georgia" w:hAnsi="Georgia"/>
          <w:b w:val="0"/>
          <w:i/>
          <w:color w:val="434343"/>
          <w:sz w:val="18"/>
        </w:rPr>
        <w:t>Le présent avenant est établi en autant d'exemplaires originaux que de parties et signé par toutes les parties au bail initial, y compris chaque colocataire.</w:t>
      </w:r>
    </w:p>
    <w:p>
      <w:pPr>
        <w:spacing w:before="0" w:after="445"/>
      </w:pPr>
      <w:r>
        <w:rPr>
          <w:rFonts w:ascii="Georgia" w:hAnsi="Georgia"/>
          <w:b w:val="0"/>
          <w:i w:val="0"/>
          <w:color w:val="141414"/>
          <w:sz w:val="19"/>
        </w:rPr>
        <w:t>Fait à […], le […], en autant d'exemplaires originaux que de parties.</w:t>
      </w:r>
    </w:p>
    <w:tbl>
      <w:tblPr>
        <w:jc w:val="center"/>
        <w:tblLook w:firstColumn="1" w:firstRow="1" w:lastColumn="0" w:lastRow="0" w:noHBand="0" w:noVBand="1" w:val="04A0"/>
        <w:tblW w:w="8850" w:type="dxa"/>
        <w:tblLayout w:type="fixed"/>
        <w:tblCellMar>
          <w:top w:w="34" w:type="dxa"/>
          <w:left w:w="170" w:type="dxa"/>
          <w:bottom w:w="34" w:type="dxa"/>
          <w:right w:w="170" w:type="dxa"/>
        </w:tblCellMar>
      </w:tblPr>
      <w:tblGrid>
        <w:gridCol w:w="4290"/>
        <w:gridCol w:w="285"/>
        <w:gridCol w:w="4275"/>
      </w:tblGrid>
      <w:tr>
        <w:trPr>
          <w:trHeight w:val="1950" w:hRule="atLeast"/>
          <w:cantSplit w:val="true"/>
        </w:trPr>
        <w:tc>
          <w:tcPr>
            <w:tcW w:type="dxa" w:w="3137"/>
            <w:tcW w:w="4290"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Le bailleur</w:t>
            </w:r>
            <w:r>
              <w:br/>
            </w:r>
            <w:r>
              <w:br/>
            </w:r>
            <w:r>
              <w:rPr>
                <w:rFonts w:ascii="Georgia" w:hAnsi="Georgia"/>
                <w:b w:val="0"/>
                <w:i w:val="0"/>
                <w:color w:val="1A1A1A"/>
                <w:sz w:val="18"/>
              </w:rPr>
              <w:t xml:space="preserve"> Le […], à […]</w:t>
            </w:r>
            <w:r>
              <w:br/>
            </w:r>
            <w:r>
              <w:br/>
            </w:r>
            <w:r>
              <w:br/>
            </w:r>
            <w:r>
              <w:rPr>
                <w:rFonts w:ascii="Georgia" w:hAnsi="Georgia"/>
                <w:b w:val="0"/>
                <w:i/>
                <w:color w:val="1A1A1A"/>
                <w:sz w:val="18"/>
              </w:rPr>
              <w:t>Signature</w:t>
            </w:r>
            <w:r>
              <w:rPr>
                <w:rFonts w:ascii="Helvetica Neue" w:hAnsi="Helvetica Neue"/>
                <w:b/>
                <w:i w:val="0"/>
                <w:color w:val="8A6D3B"/>
                <w:sz w:val="17"/>
              </w:rPr>
              <w:t xml:space="preserve"> </w:t>
            </w:r>
            <w:r>
              <w:rPr>
                <w:rFonts w:ascii="Georgia" w:hAnsi="Georgia"/>
                <w:b w:val="0"/>
                <w:i w:val="0"/>
                <w:color w:val="888888"/>
                <w:sz w:val="15"/>
              </w:rPr>
              <w:t>(ou de son mandataire, le cas échéant)</w:t>
            </w:r>
          </w:p>
        </w:tc>
        <w:tc>
          <w:tcPr>
            <w:tcW w:type="dxa" w:w="3137"/>
            <w:tcW w:w="285" w:type="dxa"/>
          </w:tcPr>
          <w:p/>
        </w:tc>
        <w:tc>
          <w:tcPr>
            <w:tcW w:type="dxa" w:w="3137"/>
            <w:tcW w:w="4275"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Le(s) locataire(s)</w:t>
            </w:r>
            <w:r>
              <w:br/>
            </w:r>
            <w:r>
              <w:br/>
            </w:r>
            <w:r>
              <w:rPr>
                <w:rFonts w:ascii="Georgia" w:hAnsi="Georgia"/>
                <w:b w:val="0"/>
                <w:i w:val="0"/>
                <w:color w:val="1A1A1A"/>
                <w:sz w:val="18"/>
              </w:rPr>
              <w:t xml:space="preserve"> Le […], à […]</w:t>
            </w:r>
            <w:r>
              <w:br/>
            </w:r>
            <w:r>
              <w:br/>
            </w:r>
            <w:r>
              <w:br/>
            </w:r>
            <w:r>
              <w:rPr>
                <w:rFonts w:ascii="Georgia" w:hAnsi="Georgia"/>
                <w:b w:val="0"/>
                <w:i/>
                <w:color w:val="1A1A1A"/>
                <w:sz w:val="18"/>
              </w:rPr>
              <w:t>Signature</w:t>
            </w:r>
          </w:p>
        </w:tc>
      </w:tr>
    </w:tbl>
    <w:p>
      <w:pPr>
        <w:spacing w:after="120" w:before="0"/>
      </w:pPr>
    </w:p>
    <w:p>
      <w:pPr>
        <w:framePr w:w="9412" w:hAnchor="margin" w:xAlign="left" w:vAnchor="margin" w:yAlign="bottom" w:wrap="around"/>
        <w:spacing w:before="0" w:after="480"/>
      </w:pPr>
      <w:r>
        <w:rPr>
          <w:rFonts w:ascii="Georgia" w:hAnsi="Georgia"/>
          <w:b/>
          <w:i w:val="0"/>
          <w:color w:val="535353"/>
          <w:sz w:val="15"/>
        </w:rPr>
        <w:t>Références.</w:t>
      </w:r>
      <w:r>
        <w:rPr>
          <w:rFonts w:ascii="Georgia" w:hAnsi="Georgia"/>
          <w:b w:val="0"/>
          <w:i w:val="0"/>
          <w:color w:val="535353"/>
          <w:sz w:val="15"/>
        </w:rPr>
        <w:t xml:space="preserve"> Loi n° 89-462 du 6 juillet 1989, articles 8-1, 23, 23-1, 25-10 · Code civil, articles 1103 et 1193.</w:t>
      </w:r>
    </w:p>
    <w:sectPr w:rsidR="00FC693F" w:rsidRPr="0006063C" w:rsidSect="00034616">
      <w:footerReference w:type="default" r:id="rId9"/>
      <w:pgSz w:w="11906" w:h="16838"/>
      <w:pgMar w:top="1020" w:right="1247" w:bottom="85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